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642247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C164F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>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Default="00762391" w:rsidP="00404CB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027C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63B2">
        <w:rPr>
          <w:sz w:val="28"/>
          <w:szCs w:val="28"/>
        </w:rPr>
        <w:t>.2019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404CBF">
        <w:rPr>
          <w:sz w:val="26"/>
          <w:szCs w:val="26"/>
        </w:rPr>
        <w:t xml:space="preserve">                      </w:t>
      </w:r>
      <w:r w:rsidR="00995C0E" w:rsidRPr="00E265B4">
        <w:rPr>
          <w:sz w:val="28"/>
          <w:szCs w:val="28"/>
        </w:rPr>
        <w:t xml:space="preserve">с. </w:t>
      </w:r>
      <w:r w:rsidR="003863B2"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</w:t>
      </w:r>
      <w:r w:rsidR="005C0218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 xml:space="preserve">№ </w:t>
      </w:r>
      <w:r w:rsidR="007042FE">
        <w:rPr>
          <w:sz w:val="28"/>
          <w:szCs w:val="28"/>
        </w:rPr>
        <w:t>47</w:t>
      </w:r>
      <w:r w:rsidR="00995C0E" w:rsidRPr="00E265B4">
        <w:rPr>
          <w:sz w:val="28"/>
          <w:szCs w:val="28"/>
        </w:rPr>
        <w:t>-п</w:t>
      </w:r>
    </w:p>
    <w:p w:rsidR="007042FE" w:rsidRDefault="007042FE" w:rsidP="00404CBF">
      <w:pPr>
        <w:rPr>
          <w:sz w:val="28"/>
          <w:szCs w:val="28"/>
        </w:rPr>
      </w:pPr>
    </w:p>
    <w:p w:rsidR="007042FE" w:rsidRDefault="007042FE" w:rsidP="007042FE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F71FE">
        <w:rPr>
          <w:sz w:val="28"/>
          <w:szCs w:val="28"/>
        </w:rPr>
        <w:t xml:space="preserve">Об утверждении порядка </w:t>
      </w:r>
      <w:r>
        <w:rPr>
          <w:bCs/>
          <w:sz w:val="28"/>
          <w:szCs w:val="28"/>
        </w:rPr>
        <w:t xml:space="preserve">разработки, </w:t>
      </w:r>
    </w:p>
    <w:p w:rsidR="007042FE" w:rsidRDefault="007042FE" w:rsidP="007042FE">
      <w:pPr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реализации и оценки эффективности муниципальных программ МО Спасский сельсовет Саракташского района Оренбургской области»</w:t>
      </w:r>
      <w:r w:rsidRPr="003F71FE">
        <w:rPr>
          <w:sz w:val="28"/>
          <w:szCs w:val="28"/>
        </w:rPr>
        <w:t>.</w:t>
      </w:r>
    </w:p>
    <w:p w:rsidR="007042FE" w:rsidRDefault="007042FE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042FE" w:rsidRPr="00DC7E71" w:rsidRDefault="007042FE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C7E71">
        <w:rPr>
          <w:sz w:val="28"/>
          <w:szCs w:val="28"/>
        </w:rPr>
        <w:tab/>
        <w:t>На основании статей 179 и 179.3 Бюджетного коде</w:t>
      </w:r>
      <w:r>
        <w:rPr>
          <w:sz w:val="28"/>
          <w:szCs w:val="28"/>
        </w:rPr>
        <w:t xml:space="preserve">кса Российской Федерации, </w:t>
      </w:r>
      <w:r w:rsidRPr="00DC7E71">
        <w:rPr>
          <w:sz w:val="28"/>
          <w:szCs w:val="28"/>
        </w:rPr>
        <w:t>Устава</w:t>
      </w:r>
      <w:r w:rsidRPr="000110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Спасский сельсовет</w:t>
      </w:r>
      <w:r w:rsidRPr="00DC7E71">
        <w:rPr>
          <w:sz w:val="28"/>
          <w:szCs w:val="28"/>
        </w:rPr>
        <w:t xml:space="preserve">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7042FE" w:rsidRDefault="007042FE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C7E71">
        <w:rPr>
          <w:sz w:val="28"/>
          <w:szCs w:val="28"/>
        </w:rPr>
        <w:t xml:space="preserve">1. Утвердить </w:t>
      </w:r>
      <w:hyperlink r:id="rId9" w:anchor="Par31" w:history="1">
        <w:r w:rsidRPr="00DC7E71">
          <w:rPr>
            <w:rStyle w:val="ae"/>
            <w:sz w:val="28"/>
            <w:szCs w:val="28"/>
          </w:rPr>
          <w:t>Порядок</w:t>
        </w:r>
      </w:hyperlink>
      <w:r w:rsidRPr="00DC7E71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 xml:space="preserve">МО Спасский сельсовет </w:t>
      </w:r>
      <w:r w:rsidRPr="00DC7E71">
        <w:rPr>
          <w:sz w:val="28"/>
          <w:szCs w:val="28"/>
        </w:rPr>
        <w:t>Саракташского района Оренбургской области (приложение 1).</w:t>
      </w:r>
    </w:p>
    <w:p w:rsidR="007042FE" w:rsidRDefault="007042FE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E69FB">
        <w:rPr>
          <w:sz w:val="28"/>
          <w:szCs w:val="28"/>
        </w:rPr>
        <w:t xml:space="preserve">2. Утвердить Методические </w:t>
      </w:r>
      <w:hyperlink r:id="rId10" w:anchor="Par191" w:history="1">
        <w:r w:rsidRPr="007E69FB">
          <w:rPr>
            <w:rStyle w:val="ae"/>
            <w:sz w:val="28"/>
            <w:szCs w:val="28"/>
          </w:rPr>
          <w:t>указания</w:t>
        </w:r>
      </w:hyperlink>
      <w:r w:rsidRPr="007E69FB">
        <w:rPr>
          <w:sz w:val="28"/>
          <w:szCs w:val="28"/>
        </w:rPr>
        <w:t xml:space="preserve"> по разработке и реализации муниципальных программ</w:t>
      </w:r>
      <w:r w:rsidRPr="000110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Спасский сельсовет</w:t>
      </w:r>
      <w:r w:rsidRPr="007E69FB">
        <w:rPr>
          <w:sz w:val="28"/>
          <w:szCs w:val="28"/>
        </w:rPr>
        <w:t xml:space="preserve"> Саракташского района Оренбургской области (приложение 2).</w:t>
      </w:r>
    </w:p>
    <w:p w:rsidR="007042FE" w:rsidRPr="005C0218" w:rsidRDefault="005C0218" w:rsidP="005C0218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2FE">
        <w:rPr>
          <w:sz w:val="28"/>
          <w:szCs w:val="28"/>
        </w:rPr>
        <w:t>3. Признать утратившим силу постановление администрации МО Спасский сельсовет от 27.02.2017г. № 10-п «</w:t>
      </w:r>
      <w:r w:rsidRPr="003F71FE">
        <w:rPr>
          <w:sz w:val="28"/>
          <w:szCs w:val="28"/>
        </w:rPr>
        <w:t xml:space="preserve">Об утверждении порядка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МО Спасский сельсовет Саракташского района Оренбургской области»</w:t>
      </w:r>
    </w:p>
    <w:p w:rsidR="007042FE" w:rsidRDefault="005C0218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2FE" w:rsidRPr="00DC7E7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7042FE">
        <w:rPr>
          <w:sz w:val="28"/>
          <w:szCs w:val="28"/>
        </w:rPr>
        <w:t>специалиста 1 категории бухгалтера администрации МО Спасский сельслвет Николаеву С.С.</w:t>
      </w:r>
    </w:p>
    <w:p w:rsidR="007042FE" w:rsidRDefault="005C0218" w:rsidP="007042F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2FE" w:rsidRPr="00DC7E71">
        <w:rPr>
          <w:sz w:val="28"/>
          <w:szCs w:val="28"/>
        </w:rPr>
        <w:t>. Постановление</w:t>
      </w:r>
      <w:r w:rsidR="007042FE">
        <w:rPr>
          <w:sz w:val="28"/>
          <w:szCs w:val="28"/>
        </w:rPr>
        <w:t xml:space="preserve"> вступает в силу</w:t>
      </w:r>
      <w:r w:rsidR="007042FE" w:rsidRPr="00DC7E71">
        <w:rPr>
          <w:sz w:val="28"/>
          <w:szCs w:val="28"/>
        </w:rPr>
        <w:t xml:space="preserve"> </w:t>
      </w:r>
      <w:r w:rsidR="007042FE">
        <w:rPr>
          <w:sz w:val="28"/>
          <w:szCs w:val="28"/>
        </w:rPr>
        <w:t xml:space="preserve">после его официального опубликования путем </w:t>
      </w:r>
      <w:r w:rsidR="007042FE" w:rsidRPr="00DC7E71">
        <w:rPr>
          <w:sz w:val="28"/>
          <w:szCs w:val="28"/>
        </w:rPr>
        <w:t xml:space="preserve">размещения на официальном сайте администрации </w:t>
      </w:r>
      <w:r w:rsidR="007042FE">
        <w:rPr>
          <w:bCs/>
          <w:sz w:val="28"/>
          <w:szCs w:val="28"/>
        </w:rPr>
        <w:t xml:space="preserve">МО Спасский сельсовет </w:t>
      </w:r>
      <w:r w:rsidR="007042FE" w:rsidRPr="00DC7E71">
        <w:rPr>
          <w:sz w:val="28"/>
          <w:szCs w:val="28"/>
        </w:rPr>
        <w:t xml:space="preserve">Саракташского района. </w:t>
      </w:r>
    </w:p>
    <w:p w:rsidR="00404CBF" w:rsidRPr="00E265B4" w:rsidRDefault="00404CBF" w:rsidP="00995C0E">
      <w:pPr>
        <w:jc w:val="center"/>
        <w:rPr>
          <w:sz w:val="28"/>
          <w:szCs w:val="28"/>
        </w:rPr>
      </w:pPr>
    </w:p>
    <w:p w:rsidR="00762391" w:rsidRDefault="00762391" w:rsidP="00B806F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06F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B806FE">
        <w:rPr>
          <w:sz w:val="28"/>
          <w:szCs w:val="28"/>
        </w:rPr>
        <w:t>Спасский сельсовет</w:t>
      </w:r>
      <w:r w:rsidR="008918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B806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B806FE">
        <w:rPr>
          <w:sz w:val="28"/>
          <w:szCs w:val="28"/>
        </w:rPr>
        <w:t>В.А.Спицин</w:t>
      </w:r>
    </w:p>
    <w:p w:rsidR="005C0218" w:rsidRPr="004212B3" w:rsidRDefault="005C0218" w:rsidP="00B806FE">
      <w:pPr>
        <w:rPr>
          <w:sz w:val="28"/>
          <w:szCs w:val="28"/>
        </w:rPr>
      </w:pPr>
    </w:p>
    <w:p w:rsidR="00762391" w:rsidRPr="004212B3" w:rsidRDefault="00762391" w:rsidP="00762391">
      <w:pPr>
        <w:jc w:val="both"/>
        <w:rPr>
          <w:sz w:val="28"/>
          <w:szCs w:val="28"/>
        </w:rPr>
      </w:pPr>
    </w:p>
    <w:p w:rsidR="00762391" w:rsidRDefault="00762391" w:rsidP="00762391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="005C0218">
        <w:rPr>
          <w:sz w:val="28"/>
          <w:szCs w:val="28"/>
        </w:rPr>
        <w:t>финотделу</w:t>
      </w:r>
      <w:r w:rsidR="00B806FE">
        <w:rPr>
          <w:sz w:val="28"/>
          <w:szCs w:val="28"/>
        </w:rPr>
        <w:t>, прокуратуре района, официальный сайт</w:t>
      </w:r>
    </w:p>
    <w:p w:rsidR="005C0218" w:rsidRDefault="005C0218" w:rsidP="00762391">
      <w:pPr>
        <w:jc w:val="both"/>
        <w:rPr>
          <w:sz w:val="28"/>
          <w:szCs w:val="28"/>
        </w:rPr>
      </w:pPr>
    </w:p>
    <w:p w:rsidR="005C0218" w:rsidRDefault="005C0218" w:rsidP="00762391">
      <w:pPr>
        <w:jc w:val="both"/>
        <w:rPr>
          <w:sz w:val="28"/>
          <w:szCs w:val="28"/>
        </w:rPr>
      </w:pPr>
    </w:p>
    <w:p w:rsidR="005C0218" w:rsidRDefault="005C0218" w:rsidP="00762391">
      <w:pPr>
        <w:jc w:val="both"/>
        <w:rPr>
          <w:sz w:val="28"/>
          <w:szCs w:val="28"/>
        </w:rPr>
      </w:pPr>
    </w:p>
    <w:p w:rsidR="00891815" w:rsidRDefault="00891815" w:rsidP="00762391">
      <w:pPr>
        <w:jc w:val="both"/>
        <w:rPr>
          <w:sz w:val="28"/>
          <w:szCs w:val="28"/>
        </w:rPr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  <w:r w:rsidRPr="00922486">
        <w:lastRenderedPageBreak/>
        <w:t xml:space="preserve">Приложение </w:t>
      </w:r>
      <w:r w:rsidR="00891815">
        <w:t>1</w:t>
      </w: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  <w:r w:rsidRPr="00922486">
        <w:t xml:space="preserve">к постановлению администрации </w:t>
      </w: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  <w:r w:rsidRPr="00922486">
        <w:t xml:space="preserve">МО </w:t>
      </w:r>
      <w:r w:rsidR="00891815">
        <w:t>Спасский</w:t>
      </w:r>
      <w:r w:rsidRPr="00922486">
        <w:t xml:space="preserve"> сельсовет</w:t>
      </w:r>
    </w:p>
    <w:p w:rsidR="005C0218" w:rsidRPr="00891815" w:rsidRDefault="00891815" w:rsidP="005C0218">
      <w:pPr>
        <w:widowControl w:val="0"/>
        <w:autoSpaceDE w:val="0"/>
        <w:autoSpaceDN w:val="0"/>
        <w:adjustRightInd w:val="0"/>
        <w:ind w:left="5670"/>
        <w:contextualSpacing/>
      </w:pPr>
      <w:r>
        <w:t>от 11.11.2019г. № 47 – п</w:t>
      </w:r>
    </w:p>
    <w:p w:rsidR="005C0218" w:rsidRPr="00922486" w:rsidRDefault="005C0218" w:rsidP="005C0218">
      <w:pPr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Порядок</w:t>
      </w:r>
    </w:p>
    <w:p w:rsidR="005C0218" w:rsidRPr="00922486" w:rsidRDefault="005C0218" w:rsidP="005C0218">
      <w:pPr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Оренбургской области (далее - порядок)</w:t>
      </w:r>
    </w:p>
    <w:p w:rsidR="005C0218" w:rsidRPr="00922486" w:rsidRDefault="005C0218" w:rsidP="005C0218">
      <w:pPr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pStyle w:val="af1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ОБЩИЕ ПОЛОЖЕНИЯ</w:t>
      </w:r>
    </w:p>
    <w:p w:rsidR="005C0218" w:rsidRPr="00922486" w:rsidRDefault="005C0218" w:rsidP="005C0218">
      <w:pPr>
        <w:pStyle w:val="af1"/>
        <w:ind w:left="1080"/>
        <w:rPr>
          <w:rFonts w:ascii="Times New Roman" w:hAnsi="Times New Roman"/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реализации и проведения оценки эффективности реализации муниципальных программ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2. В целях настоящего Порядка применяются следующие понятия: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муниципальная программа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(далее – муниципальная программа);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ответственный исполнитель муниципальной программы – администрация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конечный результат - характеризуемое количественными и (или) качественными показателями состояние сферы социально-экономического развития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достигнутое в результате реализации муниципальной программы (подпрограммы);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налоговые льготы – льготы по налогам, установленные решениями Совета депутатов </w:t>
      </w:r>
      <w:r w:rsidR="00891815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в соответствии со статьей 56 Налогового кодекса Российской Федерации;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Совета депутатов </w:t>
      </w:r>
      <w:r w:rsidR="00891815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в качестве мер муниципальной поддержки в соответствии с целями муниципальных программ.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 xml:space="preserve">3. Для муниципальной программы формулируется одна цель, которая должна соответствовать приоритетам и целям социально – экономического развития </w:t>
      </w:r>
      <w:r w:rsidR="00891815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в соответствующей сфере и определять конечные результаты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4. Муниципальная программа включает в себя подпрограммы и (или) основные мероприятия, направленные на решение конкретных задач в рамках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5. Муниципальные программы утверждаются постановлением администрации </w:t>
      </w:r>
      <w:r w:rsidR="00761B93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района.</w:t>
      </w:r>
    </w:p>
    <w:p w:rsidR="005C0218" w:rsidRPr="00922486" w:rsidRDefault="005C0218" w:rsidP="005C0218">
      <w:pPr>
        <w:pStyle w:val="af1"/>
        <w:spacing w:line="240" w:lineRule="auto"/>
        <w:ind w:left="374" w:firstLine="709"/>
        <w:jc w:val="both"/>
        <w:rPr>
          <w:rFonts w:ascii="Times New Roman" w:hAnsi="Times New Roman"/>
          <w:sz w:val="28"/>
          <w:szCs w:val="28"/>
        </w:rPr>
      </w:pPr>
    </w:p>
    <w:p w:rsidR="005C0218" w:rsidRPr="00922486" w:rsidRDefault="005C0218" w:rsidP="005C0218">
      <w:pPr>
        <w:pStyle w:val="af1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2486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5C0218" w:rsidRPr="00922486" w:rsidRDefault="005C0218" w:rsidP="005C0218">
      <w:pPr>
        <w:pStyle w:val="af1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</w:t>
      </w:r>
      <w:r w:rsidR="00761B93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761B93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Саракташского района, определенных в стратегии социально-экономического развития </w:t>
      </w:r>
      <w:r w:rsidR="00761B93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долгосрочном прогнозе социально-экономического развития </w:t>
      </w:r>
      <w:r w:rsidR="00761B93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бюджетном прогнозе </w:t>
      </w:r>
      <w:r w:rsidR="00761B93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на долгосрочный период.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При формировании муниципальной программы должны учитываться цели, задачи, мероприятия и показатели результативности государственных программ Оренбургской области и муниципальных программ Саракташского района, в реализации которых </w:t>
      </w:r>
      <w:r w:rsidR="00761B93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сельсовет принимает участие.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 Муниципальная программа имеет следующую структуру: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7.1. Паспорт муниципальной программы по форме согласно приложению № 1 к настоящему Порядку;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7.2. Текстовая часть муниципальной программы включает следующие разделы: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б) Перечень показателей (индикаторов)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имеют количественное 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</w:t>
      </w:r>
      <w:r w:rsidR="00761B93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сельсовета, отчетных данных ответственных исполнителей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характеризуют конечный результат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в) Перечень подпрограмм, ведомственных целевых программ, основных мероприятий и мероприятий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Основное мероприятие направлено на решение конкретной задачи программы (подпрограммы).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Наименования основных мероприятий (мероприятий)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Основные мероприятия (мероприятия) одной муниципальной программы не могут быть включены в другие муниципальные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каждого основного мероприятия муниципальной 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</w:t>
      </w:r>
      <w:r w:rsidRPr="00922486">
        <w:rPr>
          <w:sz w:val="28"/>
          <w:szCs w:val="28"/>
        </w:rPr>
        <w:lastRenderedPageBreak/>
        <w:t>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Перечень подпрограмм, ведомственных целевых программ, основных мероприятий и мероприятий муниципальной программы приводится в приложении к муниципальной программе по форме согласно таблице 2 приложения № 3 к настоящему Порядку.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г) Ресурсное обеспечение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Информация о ресурсном </w:t>
      </w:r>
      <w:hyperlink w:anchor="P607" w:history="1">
        <w:r w:rsidRPr="00922486">
          <w:rPr>
            <w:sz w:val="28"/>
            <w:szCs w:val="28"/>
          </w:rPr>
          <w:t>обеспечении</w:t>
        </w:r>
      </w:hyperlink>
      <w:r w:rsidRPr="00922486">
        <w:rPr>
          <w:sz w:val="28"/>
          <w:szCs w:val="28"/>
        </w:rPr>
        <w:t xml:space="preserve"> реализации муниципальной программы за счет средств бюджета</w:t>
      </w:r>
      <w:r>
        <w:rPr>
          <w:sz w:val="28"/>
          <w:szCs w:val="28"/>
        </w:rPr>
        <w:t xml:space="preserve"> сельсовета</w:t>
      </w:r>
      <w:r w:rsidRPr="00922486">
        <w:rPr>
          <w:sz w:val="28"/>
          <w:szCs w:val="28"/>
        </w:rPr>
        <w:t>, и прогнозная оценка привлекаемых на реализацию муниципальной программы средств федерального, областного</w:t>
      </w:r>
      <w:r>
        <w:rPr>
          <w:sz w:val="28"/>
          <w:szCs w:val="28"/>
        </w:rPr>
        <w:t xml:space="preserve"> и</w:t>
      </w:r>
      <w:r w:rsidRPr="00922486">
        <w:rPr>
          <w:sz w:val="28"/>
          <w:szCs w:val="28"/>
        </w:rPr>
        <w:t xml:space="preserve"> районного бюджетов приводится в приложении к муниципальной программе по форме согласно таблице </w:t>
      </w:r>
      <w:r>
        <w:rPr>
          <w:sz w:val="28"/>
          <w:szCs w:val="28"/>
        </w:rPr>
        <w:t>3</w:t>
      </w:r>
      <w:r w:rsidRPr="00922486">
        <w:rPr>
          <w:sz w:val="28"/>
          <w:szCs w:val="28"/>
        </w:rPr>
        <w:t xml:space="preserve"> приложения N 3 к настоящему Порядку.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д) 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</w:t>
      </w:r>
      <w:r>
        <w:rPr>
          <w:sz w:val="28"/>
          <w:szCs w:val="28"/>
        </w:rPr>
        <w:t>4</w:t>
      </w:r>
      <w:r w:rsidRPr="00922486">
        <w:rPr>
          <w:sz w:val="28"/>
          <w:szCs w:val="28"/>
        </w:rPr>
        <w:t xml:space="preserve"> приложения № 3 к настоящему Порядку.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761B93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установленным в соответствующих муниципальных программах.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 - соответствие налоговых льгот (налоговых расходов) целям и задачам муниципальных программ (подпрограмм);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- востребованность налоговых льгот (налоговых расходов);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- отсутствие значимых отрицательных внешних эффектов.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е) 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7.3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Подпрограмма направлена на достижение цели и решение задач соответствующей муниципальной программы, оформляется в виде приложения к муниципальной программе и содержит: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1) Паспорт подпрограммы оформляется по форме согласно приложению № 2.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2) Текстовая часть подпрограммы состоит из следующих разделов: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а) общая характеристика сферы реализации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б) показатели (индикаторы)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Раздел содержит описание показателей (индикаторов) подпрограммы, которые: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направлены на решение задач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характеризуют ход реализации каждого основного мероприятия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имеют количественное 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</w:t>
      </w:r>
      <w:r w:rsidR="00761B93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сельсовета, отчетных данных ответственных исполнителей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бюджету </w:t>
      </w:r>
      <w:r w:rsidR="00761B93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субсидий или иных межбюджетных трансфертов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 или иных межбюджетных трансфертах.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в) перечень и характеристика ведомственных целевых программ, основных мероприятий и мероприятий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подпрограммы. Каждое основное мероприятие направлено на решение одной из задач подпрограммы. На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(подпрограмма) </w:t>
      </w:r>
      <w:r w:rsidR="00F24592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приоритетный проект (подпрограмма) Саракташского района, региональный проект Оренбургской области.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Основные мероприятия (мероприятия)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Перечень ведомственных целевых программ, основных мероприятий и мероприятий подпрограмм приводится в приложении к муниципальной программе по форме согласно таблице 2 приложения № 3 к настоящему Порядку;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г) информация о ресурсном обеспечении подпрограммы с расшифровкой по ведомственным целевым программам, основным мероприятиям, мероприятиям подпрограммы и годам ее реализации.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Раздел содержит описание порядка привлечения внебюджетных источников в случае их наличия.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качестве подпрограммы может выступать отдельный приоритетный проект (программа) </w:t>
      </w:r>
      <w:r w:rsidR="00F24592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района. При этом структура и содержание такой подпрограммы должно соответствовать </w:t>
      </w:r>
      <w:r w:rsidRPr="00922486">
        <w:rPr>
          <w:sz w:val="28"/>
          <w:szCs w:val="28"/>
        </w:rPr>
        <w:lastRenderedPageBreak/>
        <w:t xml:space="preserve">структуре и содержанию приоритетного проекта (программы) </w:t>
      </w:r>
      <w:r w:rsidR="00F24592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F24592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Саракташского района.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8.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8.1. Анализ рисков реализации муниципальной программы и описание мер управления рисками.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качественную и количественную оценку факторов рисков;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обоснование предположений по мерам управления рисками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8.2. План реализации муниципальной программы (далее – план).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целях обеспечения сопоставимости данных план составляется в разрезе мероприятий муниципальной программы (подпрограммы) и показателей (индикаторов).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План реализации муниципальной программы приводится в составе дополнительного и обосновывающего материала по ф</w:t>
      </w:r>
      <w:r>
        <w:rPr>
          <w:sz w:val="28"/>
          <w:szCs w:val="28"/>
        </w:rPr>
        <w:t xml:space="preserve">орме в соответствии с таблицей 5 </w:t>
      </w:r>
      <w:r w:rsidRPr="00922486">
        <w:rPr>
          <w:sz w:val="28"/>
          <w:szCs w:val="28"/>
        </w:rPr>
        <w:t>приложения № 3 к настоящему Порядку.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8.3.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приоритетные проекты (программы) </w:t>
      </w:r>
      <w:r w:rsidR="00F24592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 (утвержденные изменения в них), утвержденные приоритетные проекты (программы) Саракташского района (утвержденные изменения в них), региональные проекты (утвержденные изменения в них).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8.4. В случае участия в реализации муниципальной программы юридических лиц, не являющихся муниципальными учреждениями </w:t>
      </w:r>
      <w:r w:rsidR="00F24592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F24592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lastRenderedPageBreak/>
        <w:t>III</w:t>
      </w:r>
      <w:r w:rsidRPr="00922486">
        <w:rPr>
          <w:sz w:val="28"/>
          <w:szCs w:val="28"/>
        </w:rPr>
        <w:t>. ПОРЯДОК РАЗРАБОТКИ МУНИЦИПАЛЬНОЙ ПРОГРАММЫ, ВНЕСЕНИЯ В НЕЕ ИЗМЕНЕНИЙ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9. Разработка муниципальной программы осуществляется на основании перечня муниципальных программ </w:t>
      </w:r>
      <w:r w:rsidR="00F24592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Саракташского района, утвержденного </w:t>
      </w:r>
      <w:r>
        <w:rPr>
          <w:sz w:val="28"/>
          <w:szCs w:val="28"/>
        </w:rPr>
        <w:t>постановлением администрации</w:t>
      </w:r>
      <w:r w:rsidRPr="00922486">
        <w:rPr>
          <w:sz w:val="28"/>
          <w:szCs w:val="28"/>
        </w:rPr>
        <w:t xml:space="preserve"> </w:t>
      </w:r>
      <w:r w:rsidR="00F24592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(далее – Перечень).</w:t>
      </w:r>
    </w:p>
    <w:p w:rsidR="005C0218" w:rsidRPr="00922486" w:rsidRDefault="005C0218" w:rsidP="005C0218">
      <w:pPr>
        <w:ind w:firstLine="709"/>
        <w:contextualSpacing/>
        <w:jc w:val="both"/>
        <w:rPr>
          <w:sz w:val="16"/>
          <w:szCs w:val="16"/>
        </w:rPr>
      </w:pPr>
      <w:r w:rsidRPr="00922486">
        <w:rPr>
          <w:sz w:val="28"/>
          <w:szCs w:val="28"/>
        </w:rPr>
        <w:t xml:space="preserve">10. Перечень формируется в соответствии с основными приоритетами и направлениями социально-экономического развития </w:t>
      </w:r>
      <w:r w:rsidR="00F24592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654412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Саракташского района</w:t>
      </w:r>
      <w:r w:rsidR="00F24592">
        <w:rPr>
          <w:sz w:val="28"/>
          <w:szCs w:val="28"/>
        </w:rPr>
        <w:t xml:space="preserve">, </w:t>
      </w:r>
      <w:r w:rsidR="00F24592" w:rsidRPr="000F5DA7">
        <w:rPr>
          <w:sz w:val="28"/>
          <w:szCs w:val="28"/>
        </w:rPr>
        <w:t>на основании предложений администрации МО Спасский сельсовет Саракташского района</w:t>
      </w:r>
    </w:p>
    <w:p w:rsidR="005C0218" w:rsidRPr="00922486" w:rsidRDefault="005C0218" w:rsidP="005C0218">
      <w:pPr>
        <w:ind w:firstLine="709"/>
        <w:contextualSpacing/>
        <w:jc w:val="both"/>
        <w:rPr>
          <w:sz w:val="16"/>
          <w:szCs w:val="16"/>
        </w:rPr>
      </w:pPr>
      <w:r w:rsidRPr="00922486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11. Перечень содержит: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наименование муниципальных программ;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наименование ответственных исполнителей муниципальных программ;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сроки реализации муниципальных программ.</w:t>
      </w:r>
    </w:p>
    <w:p w:rsidR="005C0218" w:rsidRPr="00922486" w:rsidRDefault="005C0218" w:rsidP="00F24592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12. Изменения в перечень утверждаются до 1 октября года, предшествующего очередному финансовому году.  Ответственные исполнители муниципальных программ не позднее 15 сентября года, предшествующего очередному финансовому году, представляют в </w:t>
      </w:r>
      <w:r w:rsidR="00F24592">
        <w:rPr>
          <w:sz w:val="28"/>
          <w:szCs w:val="28"/>
        </w:rPr>
        <w:t>Администрацию</w:t>
      </w:r>
      <w:r w:rsidRPr="00922486">
        <w:rPr>
          <w:sz w:val="28"/>
          <w:szCs w:val="28"/>
        </w:rPr>
        <w:t xml:space="preserve"> предложения по внесе</w:t>
      </w:r>
      <w:r w:rsidR="00F24592">
        <w:rPr>
          <w:sz w:val="28"/>
          <w:szCs w:val="28"/>
        </w:rPr>
        <w:t xml:space="preserve">нию </w:t>
      </w:r>
      <w:r w:rsidRPr="00922486">
        <w:rPr>
          <w:sz w:val="28"/>
          <w:szCs w:val="28"/>
        </w:rPr>
        <w:t xml:space="preserve">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</w:t>
      </w:r>
      <w:r w:rsidR="00F24592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субсидий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13.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 xml:space="preserve">В целях повышения эффективности реализации муниципальной программы ответственный исполнитель муниципальной программы вправе внести в </w:t>
      </w:r>
      <w:r w:rsidR="00654412">
        <w:rPr>
          <w:sz w:val="28"/>
          <w:szCs w:val="28"/>
        </w:rPr>
        <w:t>Администрацию Спасского сельсовета</w:t>
      </w:r>
      <w:r w:rsidRPr="00922486">
        <w:rPr>
          <w:sz w:val="28"/>
          <w:szCs w:val="28"/>
        </w:rPr>
        <w:t xml:space="preserve"> предложение о разработке </w:t>
      </w:r>
    </w:p>
    <w:p w:rsidR="005C0218" w:rsidRPr="00922486" w:rsidRDefault="005C0218" w:rsidP="005C0218">
      <w:pPr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муниципальной программы на новый период до истечения срока реализации действующей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случае принятия </w:t>
      </w:r>
      <w:r w:rsidR="00654412">
        <w:rPr>
          <w:sz w:val="28"/>
          <w:szCs w:val="28"/>
        </w:rPr>
        <w:t>Администрацией сельсовета</w:t>
      </w:r>
      <w:r w:rsidRPr="00922486">
        <w:rPr>
          <w:sz w:val="28"/>
          <w:szCs w:val="28"/>
        </w:rPr>
        <w:t xml:space="preserve"> предложения </w:t>
      </w:r>
    </w:p>
    <w:p w:rsidR="005C0218" w:rsidRPr="00922486" w:rsidRDefault="005C0218" w:rsidP="005C0218">
      <w:pPr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Корректировка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14. Проекты муниципальных программ (изменений в муниципальные программы) подлежат обязательному общественному обсуждению, которое включает в себя следующие этапы: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размещение проекта муниципальной программы (изменений в муниципальную программу) на официальном сайте администрации </w:t>
      </w:r>
      <w:r w:rsidR="00F24592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в информационно-телекоммуникационной сети Интернет (далее –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муниципальной программы (внесения изменений в муниципальную программу) Срок приема замечаний и предложений не может быть определен менее десяти дней;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рассмотрение поступивших замечаний и предложений к проекту муниципальной программы (изменений в муниципальную программы) в течении пяти рабочих дней после истечения срока, определяемого в соответствии с абзацем вторым настоящего пункта.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15. В день размещения проекта 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 в сферу деятельности которого входят вопросы, являющиеся предметом проекта му</w:t>
      </w:r>
      <w:r w:rsidRPr="00922486">
        <w:rPr>
          <w:sz w:val="28"/>
          <w:szCs w:val="28"/>
        </w:rPr>
        <w:lastRenderedPageBreak/>
        <w:t>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16. Результаты общественного обсуждения отражаются в составе пояснительной записки к проекту постановления администрации </w:t>
      </w:r>
      <w:r w:rsidR="00F24592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об утверждении муниципальной программы (о внесении изменений в муниципальную программу) (далее – Проект).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17.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бюджета сельсовета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 w:rsidR="00D75F4A">
        <w:rPr>
          <w:sz w:val="28"/>
          <w:szCs w:val="28"/>
        </w:rPr>
        <w:t>Спасский сельсовет</w:t>
      </w:r>
      <w:r w:rsidRPr="00922486">
        <w:rPr>
          <w:sz w:val="28"/>
          <w:szCs w:val="28"/>
        </w:rPr>
        <w:t xml:space="preserve"> Саракташского района о местном бюджете на рассмотрение Совета депутатов муниципального образования </w:t>
      </w:r>
      <w:r w:rsidR="00D75F4A">
        <w:rPr>
          <w:sz w:val="28"/>
          <w:szCs w:val="28"/>
        </w:rPr>
        <w:t xml:space="preserve">Спасский сельсовет </w:t>
      </w:r>
      <w:r w:rsidRPr="00922486">
        <w:rPr>
          <w:sz w:val="28"/>
          <w:szCs w:val="28"/>
        </w:rPr>
        <w:t xml:space="preserve"> Саракташского района.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IV</w:t>
      </w:r>
      <w:r w:rsidRPr="00922486">
        <w:rPr>
          <w:sz w:val="28"/>
          <w:szCs w:val="28"/>
        </w:rPr>
        <w:t>. ФИНАНСОВОЕ ОБЕСПЕЧЕНИЕ РЕАЛИЗАЦИИ МУНИЦИПАЛЬНЫХ ПРОГРАММ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18. Финансовое обеспечение реализации муниципальной программы осуществляется за счет средств бюджета (далее – бюджетные ассигнования) 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</w:t>
      </w:r>
      <w:r w:rsidR="00D75F4A">
        <w:rPr>
          <w:sz w:val="28"/>
          <w:szCs w:val="28"/>
        </w:rPr>
        <w:t>Спасский сельсовет</w:t>
      </w:r>
      <w:r w:rsidRPr="00922486">
        <w:rPr>
          <w:sz w:val="28"/>
          <w:szCs w:val="28"/>
        </w:rPr>
        <w:t xml:space="preserve"> Саракташского района о бюджете </w:t>
      </w:r>
      <w:r w:rsidR="00D75F4A">
        <w:rPr>
          <w:sz w:val="28"/>
          <w:szCs w:val="28"/>
        </w:rPr>
        <w:t xml:space="preserve">Спасского </w:t>
      </w:r>
      <w:r w:rsidRPr="00922486">
        <w:rPr>
          <w:sz w:val="28"/>
          <w:szCs w:val="28"/>
        </w:rPr>
        <w:t>сельсовета на очередной финансовый год и плановый период.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19.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20.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</w:t>
      </w:r>
      <w:r w:rsidR="009868EA">
        <w:rPr>
          <w:sz w:val="28"/>
          <w:szCs w:val="28"/>
        </w:rPr>
        <w:t>Спасский сельсовет</w:t>
      </w:r>
      <w:r w:rsidRPr="00922486">
        <w:rPr>
          <w:sz w:val="28"/>
          <w:szCs w:val="28"/>
        </w:rPr>
        <w:t xml:space="preserve"> Саракташского района о бюджете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на очередной финансовый год и плановый период не позднее трех месяцев со дня вступления указанного решения в силу.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 xml:space="preserve">В течении финансового года 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</w:t>
      </w:r>
      <w:r w:rsidR="009868EA">
        <w:rPr>
          <w:sz w:val="28"/>
          <w:szCs w:val="28"/>
        </w:rPr>
        <w:t>Спасский</w:t>
      </w:r>
      <w:r w:rsidRPr="00922486">
        <w:rPr>
          <w:sz w:val="28"/>
          <w:szCs w:val="28"/>
        </w:rPr>
        <w:t xml:space="preserve"> сельсо</w:t>
      </w:r>
      <w:r w:rsidR="009868EA">
        <w:rPr>
          <w:sz w:val="28"/>
          <w:szCs w:val="28"/>
        </w:rPr>
        <w:t>вет</w:t>
      </w:r>
      <w:r w:rsidRPr="00922486">
        <w:rPr>
          <w:sz w:val="28"/>
          <w:szCs w:val="28"/>
        </w:rPr>
        <w:t xml:space="preserve"> Саракташского района о бюджете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на очередной финансовый год и плановый период, сводной бюджетной росписи бюджета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сельсовета, в том числе на реализацию основных мероприятий, может отличаться от объема средств, предусмотренных на указанные цели муниципальной программой.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21.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</w:t>
      </w:r>
      <w:r w:rsidRPr="00922486">
        <w:rPr>
          <w:sz w:val="28"/>
          <w:szCs w:val="28"/>
        </w:rPr>
        <w:t>. УПРАВЛЕНИЕ И КОНТРОЛЬ ЗА РЕАЛИЗАЦИЕЙ МУНИЦИПАЛЬНОЙ ПРОГРАММЫ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22. Текущее управление реализацией муниципальной программы осуществляется ответственным исполнителем совместно с соисполнителями.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Реализация муниципальной программы осуществляется в соответствии с утвержденным планом ее реализации.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Руководитель органа местного самоуправления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(мероприятий)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23. Ответственный исполнитель: 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а) подготавливает отчет о реализации муниципальной программы за первое полугодие и за девять месяцев текущего года содержащие текстовую часть и приложения, составленные по формам согласно таблицам </w:t>
      </w:r>
      <w:r>
        <w:rPr>
          <w:sz w:val="28"/>
          <w:szCs w:val="28"/>
        </w:rPr>
        <w:t>6-8</w:t>
      </w:r>
      <w:r w:rsidRPr="00922486">
        <w:rPr>
          <w:sz w:val="28"/>
          <w:szCs w:val="28"/>
        </w:rPr>
        <w:t xml:space="preserve"> приложения № 3 к настоящему Порядку, заполняемые нарастающим итогом с начала финансового года не позднее 20-го числа месяца, следующего за отчетным периодом;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б) 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</w:t>
      </w:r>
      <w:r>
        <w:rPr>
          <w:sz w:val="28"/>
          <w:szCs w:val="28"/>
        </w:rPr>
        <w:t>6-8</w:t>
      </w:r>
      <w:r w:rsidRPr="00922486">
        <w:rPr>
          <w:sz w:val="28"/>
          <w:szCs w:val="28"/>
        </w:rPr>
        <w:t xml:space="preserve"> приложения № 3 к настоящему Порядку не позднее 15 марта года, следующего за отчетным финансовым годом.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 xml:space="preserve">24. _______________________ ежегодно, до 20 апреля года, </w:t>
      </w:r>
    </w:p>
    <w:p w:rsidR="005C0218" w:rsidRPr="00922486" w:rsidRDefault="005C0218" w:rsidP="005C0218">
      <w:pPr>
        <w:ind w:firstLine="709"/>
        <w:contextualSpacing/>
        <w:jc w:val="both"/>
        <w:rPr>
          <w:sz w:val="16"/>
          <w:szCs w:val="16"/>
        </w:rPr>
      </w:pPr>
      <w:r w:rsidRPr="00922486">
        <w:rPr>
          <w:sz w:val="16"/>
          <w:szCs w:val="16"/>
        </w:rPr>
        <w:t xml:space="preserve">                           (указать кто)</w:t>
      </w:r>
    </w:p>
    <w:p w:rsidR="005C0218" w:rsidRPr="00922486" w:rsidRDefault="005C0218" w:rsidP="005C0218">
      <w:pPr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следующего за отчетным: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24.1. Годовой отчет о реализации муниципальных программ, который содержит: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отчет о выполнении планов реализации муниципальных программ за отчетный год;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результаты оценки эффективности реализации муниципальных программ за отчетный год.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и подлежит размещению на официальном сайте администрации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в сети Интернет.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24.2. Сводный годовой доклад о ходе реализации и оценке эффективности муниципальных программ, который содержит: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оценку деятельности ответственных исполнителей по реализации муниципальных программ.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25. По результатам рассмотрения годового отчета о реализации муниципальных программ администрацией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принимается одно из следующих решений: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</w:t>
      </w:r>
      <w:r w:rsidRPr="00922486">
        <w:rPr>
          <w:sz w:val="28"/>
          <w:szCs w:val="28"/>
        </w:rPr>
        <w:lastRenderedPageBreak/>
        <w:t>граммы, обоснования применения показателей (индикаторов) и необходимости осуществления мероприятий муниципальной программы).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26. Сводный годовой доклад о ходе реализации и оценке эффективности муниципальных программ в течении 10 дней после его рассмотрения администрацией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подлежит размещению на официальном сайте администрации </w:t>
      </w:r>
      <w:r w:rsidR="009868EA">
        <w:rPr>
          <w:sz w:val="28"/>
          <w:szCs w:val="28"/>
        </w:rPr>
        <w:t>Спасского</w:t>
      </w:r>
      <w:r w:rsidRPr="00922486">
        <w:rPr>
          <w:sz w:val="28"/>
          <w:szCs w:val="28"/>
        </w:rPr>
        <w:t xml:space="preserve"> сельсовета Саракташского района в сети Интернет.</w:t>
      </w:r>
    </w:p>
    <w:p w:rsidR="005C0218" w:rsidRPr="00922486" w:rsidRDefault="005C0218" w:rsidP="005C0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 xml:space="preserve">VI. Оценка эффективности </w:t>
      </w:r>
    </w:p>
    <w:p w:rsidR="005C0218" w:rsidRPr="00922486" w:rsidRDefault="005C0218" w:rsidP="005C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5C0218" w:rsidRPr="00922486" w:rsidRDefault="005C0218" w:rsidP="005C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27. 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Приложение № 1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к порядку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разработки, реализации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и оценки эффективности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муниципальных программ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ПАСПОРТ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муниципальной программы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_____________________________________________________________</w:t>
      </w:r>
    </w:p>
    <w:p w:rsidR="005C0218" w:rsidRPr="00922486" w:rsidRDefault="005C0218" w:rsidP="005C0218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(наименование муниципальной программы)</w:t>
      </w:r>
    </w:p>
    <w:p w:rsidR="005C0218" w:rsidRPr="00922486" w:rsidRDefault="005C0218" w:rsidP="005C0218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(далее – программа)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Приложение № 2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к порядку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разработки, реализации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и оценки эффективности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  <w:r w:rsidRPr="00922486">
        <w:t>муниципальных программ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ПАСПОРТ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подпрограммы ________________________________________________</w:t>
      </w:r>
    </w:p>
    <w:p w:rsidR="005C0218" w:rsidRPr="00922486" w:rsidRDefault="005C0218" w:rsidP="005C0218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0"/>
          <w:szCs w:val="20"/>
        </w:rPr>
        <w:t>(наименование подпрограммы)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0"/>
          <w:szCs w:val="20"/>
        </w:rPr>
        <w:t>(далее – подпрограмма)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0218" w:rsidRPr="00922486" w:rsidTr="00761B93">
        <w:trPr>
          <w:trHeight w:val="671"/>
        </w:trPr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C0218" w:rsidRPr="00922486" w:rsidTr="00761B93">
        <w:tc>
          <w:tcPr>
            <w:tcW w:w="4672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  <w:r w:rsidRPr="0092248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8"/>
                <w:szCs w:val="28"/>
              </w:rPr>
            </w:pPr>
          </w:p>
        </w:tc>
      </w:tr>
    </w:tbl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  <w:sectPr w:rsidR="005C0218" w:rsidRPr="00922486" w:rsidSect="00761B93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lastRenderedPageBreak/>
        <w:t xml:space="preserve">Приложение № 3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к порядку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разработки, реализации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и оценки эффективности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муниципальных программ</w:t>
      </w: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Таблица 1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СВЕДЕНИЯ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5C0218" w:rsidRPr="00922486" w:rsidTr="00761B93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Значения показателей (индикаторов)</w:t>
            </w:r>
          </w:p>
        </w:tc>
      </w:tr>
      <w:tr w:rsidR="005C0218" w:rsidRPr="00922486" w:rsidTr="00761B93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9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последний год реализации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Муниципальная программа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Подпрограмма 1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1.2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Основные мероприятие (мероприятия) подпрограммы 1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Подпрограмма 2</w:t>
            </w:r>
          </w:p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2.1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2.2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Основные мероприятие (мероприятия) подпрограммы 2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260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2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</w:tbl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lastRenderedPageBreak/>
        <w:t>Таблица 2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ПЕРЕЧЕНЬ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ведомственных целевых программ, основных мероприятий и мероприятий муниципальной программы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5C0218" w:rsidRPr="00922486" w:rsidTr="00761B93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Номер и наименование подпрограммы, ведомственной целевой программы, приоритетного проекта (программы),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Ожидаемый конечный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Последствия не реализации ВЦП,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Связь с показателями (индикаторами) муниципальной программы (подпрограммы)</w:t>
            </w:r>
            <w:r w:rsidRPr="00922486">
              <w:rPr>
                <w:vertAlign w:val="superscript"/>
              </w:rPr>
              <w:t>*</w:t>
            </w:r>
          </w:p>
        </w:tc>
      </w:tr>
      <w:tr w:rsidR="005C0218" w:rsidRPr="00922486" w:rsidTr="00761B93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9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Подпрограмма 1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56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56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</w:tbl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____________________</w:t>
      </w: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  <w:vertAlign w:val="superscript"/>
        </w:rPr>
        <w:t>*</w:t>
      </w:r>
      <w:r w:rsidRPr="00922486">
        <w:rPr>
          <w:sz w:val="28"/>
          <w:szCs w:val="28"/>
        </w:rPr>
        <w:t>В данной графе указываются наименования показателей (индикаторов) программы характеризующих соответствующую ВЦП, соответствующее основное мероприятие (мероприятие).</w:t>
      </w: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  <w:r w:rsidRPr="00922486">
        <w:t>Таблица 3</w:t>
      </w: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РЕСУРСНОЕ ОБЕСПЕЧЕНИЕ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5C0218" w:rsidRPr="00922486" w:rsidTr="00761B93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Оценка расходов</w:t>
            </w:r>
          </w:p>
        </w:tc>
      </w:tr>
      <w:tr w:rsidR="005C0218" w:rsidRPr="00922486" w:rsidTr="00761B93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ГРБС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РзПр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ЦСР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</w:tr>
      <w:tr w:rsidR="005C0218" w:rsidRPr="00922486" w:rsidTr="00761B93"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184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9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10</w:t>
            </w: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11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lastRenderedPageBreak/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84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</w:tbl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Таблица </w:t>
      </w:r>
      <w:r>
        <w:t>4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РЕСУРСНОЕ ОБЕСПЕЧЕНИЕ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4"/>
        <w:gridCol w:w="2486"/>
        <w:gridCol w:w="2180"/>
        <w:gridCol w:w="1756"/>
        <w:gridCol w:w="1465"/>
        <w:gridCol w:w="1465"/>
        <w:gridCol w:w="1465"/>
        <w:gridCol w:w="1465"/>
      </w:tblGrid>
      <w:tr w:rsidR="005C0218" w:rsidRPr="00922486" w:rsidTr="00761B93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Оценка расходов</w:t>
            </w:r>
          </w:p>
        </w:tc>
      </w:tr>
      <w:tr w:rsidR="005C0218" w:rsidRPr="00922486" w:rsidTr="00761B93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48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</w:tr>
      <w:tr w:rsidR="005C0218" w:rsidRPr="00922486" w:rsidTr="00761B93">
        <w:tc>
          <w:tcPr>
            <w:tcW w:w="54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6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248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18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9</w:t>
            </w:r>
          </w:p>
        </w:tc>
      </w:tr>
      <w:tr w:rsidR="005C0218" w:rsidRPr="00922486" w:rsidTr="00761B93">
        <w:tc>
          <w:tcPr>
            <w:tcW w:w="54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4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4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4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4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4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96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48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18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</w:tbl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Default="005C0218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Pr="00922486" w:rsidRDefault="006A1414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lastRenderedPageBreak/>
        <w:t xml:space="preserve">Таблица </w:t>
      </w:r>
      <w:r>
        <w:t>5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Утверждаю</w:t>
      </w:r>
    </w:p>
    <w:p w:rsidR="005C0218" w:rsidRPr="00922486" w:rsidRDefault="005C0218" w:rsidP="005C0218">
      <w:pPr>
        <w:ind w:firstLine="709"/>
        <w:contextualSpacing/>
        <w:rPr>
          <w:sz w:val="20"/>
          <w:szCs w:val="20"/>
        </w:rPr>
      </w:pPr>
      <w:r w:rsidRPr="00922486">
        <w:rPr>
          <w:sz w:val="28"/>
          <w:szCs w:val="28"/>
        </w:rPr>
        <w:t>__________________________________</w:t>
      </w: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0"/>
          <w:szCs w:val="20"/>
        </w:rPr>
        <w:t>(должность руководителя ответственного исполнителя)</w:t>
      </w: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__________________________________</w:t>
      </w:r>
    </w:p>
    <w:p w:rsidR="005C0218" w:rsidRPr="00922486" w:rsidRDefault="005C0218" w:rsidP="005C0218">
      <w:pPr>
        <w:ind w:firstLine="709"/>
        <w:contextualSpacing/>
        <w:rPr>
          <w:sz w:val="20"/>
          <w:szCs w:val="20"/>
        </w:rPr>
      </w:pPr>
      <w:r w:rsidRPr="00922486">
        <w:rPr>
          <w:sz w:val="20"/>
          <w:szCs w:val="20"/>
        </w:rPr>
        <w:t>(подпись, расшифровка подписи)</w:t>
      </w:r>
    </w:p>
    <w:p w:rsidR="005C0218" w:rsidRPr="00922486" w:rsidRDefault="005C0218" w:rsidP="005C0218">
      <w:pPr>
        <w:ind w:firstLine="709"/>
        <w:contextualSpacing/>
        <w:rPr>
          <w:sz w:val="20"/>
          <w:szCs w:val="20"/>
        </w:rPr>
      </w:pPr>
      <w:r w:rsidRPr="00922486">
        <w:rPr>
          <w:sz w:val="28"/>
          <w:szCs w:val="28"/>
        </w:rPr>
        <w:t>__________________________________</w:t>
      </w: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(дата утверждения)</w:t>
      </w: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ПЛАН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реализации муниципальной программы на _____________ год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5C0218" w:rsidRPr="00922486" w:rsidTr="00761B93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Контрольные события</w:t>
            </w:r>
          </w:p>
        </w:tc>
      </w:tr>
      <w:tr w:rsidR="005C0218" w:rsidRPr="00922486" w:rsidTr="00761B93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Дата наступления</w:t>
            </w:r>
          </w:p>
        </w:tc>
      </w:tr>
      <w:tr w:rsidR="005C0218" w:rsidRPr="00922486" w:rsidTr="00761B93">
        <w:trPr>
          <w:trHeight w:hRule="exact" w:val="624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lastRenderedPageBreak/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Таблица </w:t>
      </w:r>
      <w:r>
        <w:t>6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достижении значений показателей (индикаторов) муниципальной программы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5C0218" w:rsidRPr="00922486" w:rsidTr="00761B93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5C0218" w:rsidRPr="00922486" w:rsidTr="00761B93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план</w:t>
            </w:r>
          </w:p>
        </w:tc>
        <w:tc>
          <w:tcPr>
            <w:tcW w:w="198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vertAlign w:val="superscript"/>
              </w:rPr>
            </w:pPr>
            <w:r w:rsidRPr="00922486">
              <w:t>факт на отчетную дату</w:t>
            </w:r>
            <w:r w:rsidRPr="00922486">
              <w:rPr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Муниципальная программа</w:t>
            </w:r>
          </w:p>
        </w:tc>
      </w:tr>
      <w:tr w:rsidR="005C0218" w:rsidRPr="00922486" w:rsidTr="00761B93">
        <w:tc>
          <w:tcPr>
            <w:tcW w:w="56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6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50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14560" w:type="dxa"/>
            <w:gridSpan w:val="8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Подпрограмма муниципальной программы</w:t>
            </w:r>
          </w:p>
        </w:tc>
      </w:tr>
      <w:tr w:rsidR="005C0218" w:rsidRPr="00922486" w:rsidTr="00761B93">
        <w:tc>
          <w:tcPr>
            <w:tcW w:w="56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85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55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  <w:tr w:rsidR="005C0218" w:rsidRPr="00922486" w:rsidTr="00761B93">
        <w:tc>
          <w:tcPr>
            <w:tcW w:w="56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50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3083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</w:tr>
    </w:tbl>
    <w:p w:rsidR="005C0218" w:rsidRPr="00922486" w:rsidRDefault="005C0218" w:rsidP="005C0218">
      <w:pPr>
        <w:contextualSpacing/>
        <w:rPr>
          <w:sz w:val="28"/>
          <w:szCs w:val="28"/>
        </w:rPr>
      </w:pPr>
    </w:p>
    <w:p w:rsidR="005C0218" w:rsidRPr="00922486" w:rsidRDefault="005C0218" w:rsidP="005C0218">
      <w:pPr>
        <w:contextualSpacing/>
        <w:rPr>
          <w:sz w:val="28"/>
          <w:szCs w:val="28"/>
        </w:rPr>
      </w:pPr>
    </w:p>
    <w:p w:rsidR="005C0218" w:rsidRPr="00922486" w:rsidRDefault="005C0218" w:rsidP="005C0218">
      <w:pPr>
        <w:contextualSpacing/>
        <w:rPr>
          <w:sz w:val="28"/>
          <w:szCs w:val="28"/>
        </w:rPr>
      </w:pPr>
      <w:r w:rsidRPr="00922486">
        <w:rPr>
          <w:sz w:val="28"/>
          <w:szCs w:val="28"/>
        </w:rPr>
        <w:t>________________</w:t>
      </w:r>
    </w:p>
    <w:p w:rsidR="005C0218" w:rsidRPr="00922486" w:rsidRDefault="005C0218" w:rsidP="005C0218">
      <w:pPr>
        <w:contextualSpacing/>
        <w:rPr>
          <w:sz w:val="28"/>
          <w:szCs w:val="28"/>
        </w:rPr>
      </w:pPr>
      <w:r w:rsidRPr="00922486">
        <w:rPr>
          <w:sz w:val="28"/>
          <w:szCs w:val="28"/>
          <w:vertAlign w:val="superscript"/>
        </w:rPr>
        <w:t>*</w:t>
      </w:r>
      <w:r w:rsidRPr="00922486">
        <w:rPr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5C0218" w:rsidRPr="00922486" w:rsidRDefault="005C0218" w:rsidP="005C0218">
      <w:pPr>
        <w:contextualSpacing/>
        <w:rPr>
          <w:sz w:val="28"/>
          <w:szCs w:val="28"/>
        </w:rPr>
      </w:pPr>
    </w:p>
    <w:p w:rsidR="005C0218" w:rsidRDefault="005C0218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Default="006A1414" w:rsidP="005C0218">
      <w:pPr>
        <w:ind w:firstLine="709"/>
        <w:contextualSpacing/>
        <w:jc w:val="right"/>
      </w:pPr>
    </w:p>
    <w:p w:rsidR="006A1414" w:rsidRPr="00922486" w:rsidRDefault="006A1414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lastRenderedPageBreak/>
        <w:t xml:space="preserve">Таблица </w:t>
      </w:r>
      <w:r>
        <w:t>7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 xml:space="preserve">об объемах финансирования муниципальной программы за счет средств бюджета </w:t>
      </w:r>
      <w:r w:rsidR="006A1414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и привлекаемых на реализацию муниципальной программы средств федерального, областного и районного бюджетов 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  <w:r w:rsidRPr="0092248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5C0218" w:rsidRPr="00922486" w:rsidTr="00761B93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Расходы</w:t>
            </w:r>
          </w:p>
        </w:tc>
      </w:tr>
      <w:tr w:rsidR="005C0218" w:rsidRPr="00922486" w:rsidTr="00761B93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ГРБС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РзПр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ЦСР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Кассовое исполнение</w:t>
            </w:r>
          </w:p>
        </w:tc>
      </w:tr>
      <w:tr w:rsidR="005C0218" w:rsidRPr="00922486" w:rsidTr="00761B93"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2</w:t>
            </w:r>
          </w:p>
        </w:tc>
        <w:tc>
          <w:tcPr>
            <w:tcW w:w="1842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3</w:t>
            </w: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4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5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6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7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8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9</w:t>
            </w: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10</w:t>
            </w: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11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Х</w:t>
            </w: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842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704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  <w:r w:rsidRPr="00922486">
              <w:t>…</w:t>
            </w: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  <w:r w:rsidRPr="00922486">
              <w:t>…</w:t>
            </w:r>
          </w:p>
        </w:tc>
        <w:tc>
          <w:tcPr>
            <w:tcW w:w="1842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27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  <w:tc>
          <w:tcPr>
            <w:tcW w:w="1161" w:type="dxa"/>
            <w:shd w:val="clear" w:color="auto" w:fill="auto"/>
          </w:tcPr>
          <w:p w:rsidR="005C0218" w:rsidRPr="00922486" w:rsidRDefault="005C0218" w:rsidP="00761B93">
            <w:pPr>
              <w:contextualSpacing/>
            </w:pPr>
          </w:p>
        </w:tc>
      </w:tr>
    </w:tbl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Таблица </w:t>
      </w:r>
      <w:r>
        <w:t>8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ОТЧЕТ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о ходе выполнения плана реализации муниципальной программы на _____________ год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contextualSpacing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5C0218" w:rsidRPr="00922486" w:rsidTr="00761B93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Контрольные события</w:t>
            </w:r>
          </w:p>
        </w:tc>
      </w:tr>
      <w:tr w:rsidR="005C0218" w:rsidRPr="00922486" w:rsidTr="00761B93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Дата наступления</w:t>
            </w:r>
          </w:p>
        </w:tc>
      </w:tr>
      <w:tr w:rsidR="005C0218" w:rsidRPr="00922486" w:rsidTr="00761B93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624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C0218" w:rsidRPr="00922486" w:rsidTr="00761B93">
        <w:trPr>
          <w:trHeight w:hRule="exact" w:val="340"/>
        </w:trPr>
        <w:tc>
          <w:tcPr>
            <w:tcW w:w="2660" w:type="dxa"/>
            <w:shd w:val="clear" w:color="auto" w:fill="auto"/>
          </w:tcPr>
          <w:p w:rsidR="005C0218" w:rsidRPr="00922486" w:rsidRDefault="005C0218" w:rsidP="00761B93">
            <w:pPr>
              <w:contextualSpacing/>
              <w:rPr>
                <w:sz w:val="20"/>
                <w:szCs w:val="20"/>
              </w:rPr>
            </w:pPr>
            <w:r w:rsidRPr="00922486">
              <w:rPr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218" w:rsidRPr="00922486" w:rsidRDefault="005C0218" w:rsidP="00761B9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C0218" w:rsidRPr="00922486" w:rsidRDefault="005C0218" w:rsidP="005C0218">
      <w:pPr>
        <w:tabs>
          <w:tab w:val="left" w:pos="13395"/>
        </w:tabs>
        <w:contextualSpacing/>
        <w:rPr>
          <w:sz w:val="28"/>
          <w:szCs w:val="28"/>
        </w:rPr>
      </w:pPr>
    </w:p>
    <w:p w:rsidR="005C0218" w:rsidRPr="00922486" w:rsidRDefault="005C0218" w:rsidP="005C0218">
      <w:pPr>
        <w:tabs>
          <w:tab w:val="left" w:pos="13395"/>
        </w:tabs>
        <w:contextualSpacing/>
        <w:jc w:val="center"/>
        <w:rPr>
          <w:sz w:val="28"/>
          <w:szCs w:val="28"/>
        </w:rPr>
        <w:sectPr w:rsidR="005C0218" w:rsidRPr="00922486" w:rsidSect="00761B9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C0218" w:rsidRPr="00922486" w:rsidRDefault="005C0218" w:rsidP="005C0218">
      <w:pPr>
        <w:ind w:firstLine="709"/>
        <w:contextualSpacing/>
        <w:jc w:val="right"/>
      </w:pPr>
      <w:r w:rsidRPr="00922486">
        <w:lastRenderedPageBreak/>
        <w:t xml:space="preserve">Приложение № 4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 xml:space="preserve">к порядку 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разработки, реализации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и оценки эффективности</w:t>
      </w:r>
    </w:p>
    <w:p w:rsidR="005C0218" w:rsidRPr="00922486" w:rsidRDefault="005C0218" w:rsidP="005C0218">
      <w:pPr>
        <w:ind w:firstLine="709"/>
        <w:contextualSpacing/>
        <w:jc w:val="right"/>
      </w:pPr>
      <w:r w:rsidRPr="00922486">
        <w:t>муниципальных программ</w:t>
      </w:r>
    </w:p>
    <w:p w:rsidR="005C0218" w:rsidRPr="00922486" w:rsidRDefault="005C0218" w:rsidP="005C0218">
      <w:pPr>
        <w:ind w:firstLine="709"/>
        <w:contextualSpacing/>
        <w:jc w:val="right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МЕТОДИКА</w:t>
      </w:r>
    </w:p>
    <w:p w:rsidR="005C0218" w:rsidRPr="00922486" w:rsidRDefault="005C0218" w:rsidP="005C0218">
      <w:pPr>
        <w:contextualSpacing/>
        <w:rPr>
          <w:sz w:val="28"/>
          <w:szCs w:val="28"/>
        </w:rPr>
      </w:pPr>
      <w:r w:rsidRPr="00922486">
        <w:rPr>
          <w:sz w:val="28"/>
          <w:szCs w:val="28"/>
        </w:rPr>
        <w:t xml:space="preserve">оценки эффективности муниципальных программ </w:t>
      </w:r>
      <w:r w:rsidR="006A1414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</w:t>
      </w:r>
      <w:r w:rsidR="006A1414">
        <w:rPr>
          <w:sz w:val="28"/>
          <w:szCs w:val="28"/>
        </w:rPr>
        <w:t>вет</w:t>
      </w:r>
      <w:r w:rsidRPr="00922486">
        <w:rPr>
          <w:sz w:val="28"/>
          <w:szCs w:val="28"/>
        </w:rPr>
        <w:t xml:space="preserve">  Саракташского района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</w:t>
      </w:r>
      <w:r w:rsidRPr="00922486">
        <w:rPr>
          <w:sz w:val="28"/>
          <w:szCs w:val="28"/>
        </w:rPr>
        <w:t>. Общие положения</w:t>
      </w:r>
    </w:p>
    <w:p w:rsidR="005C0218" w:rsidRPr="00922486" w:rsidRDefault="005C0218" w:rsidP="005C0218">
      <w:pPr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действующая на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2. Оценка эффективности муниципальной программы производится с учетом оценки: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степени соответствия произведенных затрат запланированным затратам;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эффективности использования средств бюджета </w:t>
      </w:r>
      <w:r w:rsidR="006A1414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6A1414">
        <w:rPr>
          <w:sz w:val="28"/>
          <w:szCs w:val="28"/>
        </w:rPr>
        <w:t>т</w:t>
      </w:r>
      <w:r w:rsidRPr="00922486">
        <w:rPr>
          <w:sz w:val="28"/>
          <w:szCs w:val="28"/>
        </w:rPr>
        <w:t>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II</w:t>
      </w:r>
      <w:r w:rsidRPr="00922486">
        <w:rPr>
          <w:sz w:val="28"/>
          <w:szCs w:val="28"/>
        </w:rPr>
        <w:t>. Оценка степени реализации мероприятий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5. Степень реализации мероприятий подпрограммы (СР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22486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6. Степень реализации основного мероприятия рассчитывается по формуле:</w:t>
      </w:r>
    </w:p>
    <w:p w:rsidR="005C0218" w:rsidRPr="00922486" w:rsidRDefault="005C0218" w:rsidP="005C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218" w:rsidRPr="00922486" w:rsidRDefault="005C0218" w:rsidP="005C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= 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/ П, где:</w:t>
      </w:r>
    </w:p>
    <w:p w:rsidR="005C0218" w:rsidRPr="00922486" w:rsidRDefault="005C0218" w:rsidP="005C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СР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</w:t>
      </w:r>
      <w:r w:rsidRPr="0092248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22486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90 процентов от запланированных;</w:t>
      </w: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5C0218" w:rsidRPr="00922486" w:rsidRDefault="005C0218" w:rsidP="005C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486">
        <w:rPr>
          <w:rFonts w:ascii="Times New Roman" w:hAnsi="Times New Roman" w:cs="Times New Roman"/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III</w:t>
      </w:r>
      <w:r w:rsidRPr="00922486">
        <w:rPr>
          <w:sz w:val="28"/>
          <w:szCs w:val="28"/>
        </w:rPr>
        <w:t>. Оценка степени соответствия произведенных затрат запланированным затратам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  Степень соответствия произведенных затрат запланированным затратам оценивается для каждой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– предусмотренные сводной бюджетной росписью в редакции на 31 декабря отчетного года расходы на реализацию подпрограммы в отчетном году;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бюджета сельсовета, так и за счет средств, поступивших из федерального, областного и районного бюджетов межбюджетных трансфертов, имеющих целевое назначение, рассчитывается по следующей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= 0,5*З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+0,5*МБ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>/МБ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МБ</w:t>
      </w:r>
      <w:r w:rsidRPr="00922486">
        <w:rPr>
          <w:sz w:val="28"/>
          <w:szCs w:val="28"/>
          <w:vertAlign w:val="subscript"/>
        </w:rPr>
        <w:t>ф</w:t>
      </w:r>
      <w:r w:rsidRPr="00922486">
        <w:rPr>
          <w:sz w:val="28"/>
          <w:szCs w:val="28"/>
        </w:rPr>
        <w:t xml:space="preserve"> – фактически произведенные в отчетном году кассовые расходы на реализацию подпрограммы за счет средств, поступивших из федерального, областного и районного бюджетов межбюджетных трансфертов, имеющих целевое назначение;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МБ</w:t>
      </w:r>
      <w:r w:rsidRPr="00922486">
        <w:rPr>
          <w:sz w:val="28"/>
          <w:szCs w:val="28"/>
          <w:vertAlign w:val="subscript"/>
        </w:rPr>
        <w:t>п</w:t>
      </w:r>
      <w:r w:rsidRPr="00922486">
        <w:rPr>
          <w:sz w:val="28"/>
          <w:szCs w:val="28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106C1D" w:rsidRPr="00106C1D" w:rsidRDefault="005C0218" w:rsidP="00106C1D">
      <w:pPr>
        <w:pStyle w:val="af1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106C1D">
        <w:rPr>
          <w:rFonts w:ascii="Times New Roman" w:hAnsi="Times New Roman"/>
          <w:sz w:val="28"/>
          <w:szCs w:val="28"/>
        </w:rPr>
        <w:t xml:space="preserve">Оценка эффективности использования средств бюджета </w:t>
      </w:r>
    </w:p>
    <w:p w:rsidR="005C0218" w:rsidRPr="00106C1D" w:rsidRDefault="00106C1D" w:rsidP="00106C1D">
      <w:pPr>
        <w:pStyle w:val="af1"/>
        <w:ind w:left="1080"/>
        <w:rPr>
          <w:rFonts w:ascii="Times New Roman" w:hAnsi="Times New Roman"/>
          <w:sz w:val="28"/>
          <w:szCs w:val="28"/>
        </w:rPr>
      </w:pPr>
      <w:r w:rsidRPr="00106C1D">
        <w:rPr>
          <w:rFonts w:ascii="Times New Roman" w:hAnsi="Times New Roman"/>
          <w:sz w:val="28"/>
          <w:szCs w:val="28"/>
        </w:rPr>
        <w:t xml:space="preserve">                                    МО Спасский</w:t>
      </w:r>
      <w:r w:rsidR="005C0218" w:rsidRPr="00106C1D">
        <w:rPr>
          <w:rFonts w:ascii="Times New Roman" w:hAnsi="Times New Roman"/>
          <w:sz w:val="28"/>
          <w:szCs w:val="28"/>
        </w:rPr>
        <w:t xml:space="preserve"> сельсо</w:t>
      </w:r>
      <w:r w:rsidRPr="00106C1D">
        <w:rPr>
          <w:rFonts w:ascii="Times New Roman" w:hAnsi="Times New Roman"/>
          <w:sz w:val="28"/>
          <w:szCs w:val="28"/>
        </w:rPr>
        <w:t>вет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8. Эффективность использования средств бюджета </w:t>
      </w:r>
      <w:r w:rsidR="00106C1D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106C1D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рассчитывается для каждой подпрограммы по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= СР</w:t>
      </w:r>
      <w:r w:rsidRPr="00922486">
        <w:rPr>
          <w:sz w:val="28"/>
          <w:szCs w:val="28"/>
          <w:vertAlign w:val="subscript"/>
        </w:rPr>
        <w:t xml:space="preserve">м </w:t>
      </w:r>
      <w:r w:rsidRPr="00922486">
        <w:rPr>
          <w:sz w:val="28"/>
          <w:szCs w:val="28"/>
        </w:rPr>
        <w:t>- 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106C1D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– эффективность использования средств бюджета</w:t>
      </w:r>
      <w:r w:rsidR="00106C1D">
        <w:rPr>
          <w:sz w:val="28"/>
          <w:szCs w:val="28"/>
        </w:rPr>
        <w:t xml:space="preserve"> МО Спасский</w:t>
      </w:r>
      <w:r w:rsidR="00106C1D" w:rsidRPr="00922486">
        <w:rPr>
          <w:sz w:val="28"/>
          <w:szCs w:val="28"/>
        </w:rPr>
        <w:t xml:space="preserve"> сельсове</w:t>
      </w:r>
      <w:r w:rsidR="00106C1D">
        <w:rPr>
          <w:sz w:val="28"/>
          <w:szCs w:val="28"/>
        </w:rPr>
        <w:t>т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 СР</w:t>
      </w:r>
      <w:r w:rsidRPr="00922486">
        <w:rPr>
          <w:sz w:val="28"/>
          <w:szCs w:val="28"/>
          <w:vertAlign w:val="subscript"/>
        </w:rPr>
        <w:t>м</w:t>
      </w:r>
      <w:r w:rsidRPr="00922486">
        <w:rPr>
          <w:sz w:val="28"/>
          <w:szCs w:val="28"/>
        </w:rPr>
        <w:t xml:space="preserve"> - степень реализации мероприятий, полностью или частично финансируемых за счет средств бюджета </w:t>
      </w:r>
      <w:r w:rsidR="00106C1D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>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СС</w:t>
      </w:r>
      <w:r w:rsidRPr="00922486">
        <w:rPr>
          <w:sz w:val="28"/>
          <w:szCs w:val="28"/>
          <w:vertAlign w:val="subscript"/>
        </w:rPr>
        <w:t>уз</w:t>
      </w:r>
      <w:r w:rsidRPr="00922486">
        <w:rPr>
          <w:sz w:val="28"/>
          <w:szCs w:val="28"/>
        </w:rPr>
        <w:t xml:space="preserve"> – степень соответствия произведенных затрат запланированным затратам.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этом если значение 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составляет: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0, то оно принимается равным 1;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-0,1, но менее 0, то оно принимается равным 0,9;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-0,2, но менее -0,1, то оно принимается равным 0,8;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-0,3, но менее -0,2, то оно принимается равным 0,7;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-0,4, но менее -0,3, то оно принимается равным 0,6;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не менее -0,5, но менее -0,4, то оно принимается равным 0,5;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менее -0,5, то оно принимается равным 0.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В случае, если подпрограмма реализуется без финансового обеспечения, то эффективность использования средств бюджета </w:t>
      </w:r>
      <w:r w:rsidR="00106C1D">
        <w:rPr>
          <w:sz w:val="28"/>
          <w:szCs w:val="28"/>
        </w:rPr>
        <w:t xml:space="preserve">МО Спасский </w:t>
      </w:r>
      <w:r w:rsidRPr="00922486">
        <w:rPr>
          <w:sz w:val="28"/>
          <w:szCs w:val="28"/>
        </w:rPr>
        <w:t>сельсове</w:t>
      </w:r>
      <w:r w:rsidR="00106C1D">
        <w:rPr>
          <w:sz w:val="28"/>
          <w:szCs w:val="28"/>
        </w:rPr>
        <w:t>т</w:t>
      </w:r>
      <w:r w:rsidRPr="00922486">
        <w:rPr>
          <w:sz w:val="28"/>
          <w:szCs w:val="28"/>
        </w:rPr>
        <w:t xml:space="preserve"> принимается равной единице.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</w:t>
      </w:r>
      <w:r w:rsidRPr="00922486">
        <w:rPr>
          <w:sz w:val="28"/>
          <w:szCs w:val="28"/>
        </w:rPr>
        <w:t>. Оценка степени достижения целей и решения задач подпрограммы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9. Для оценки степени достижения цели и решения задач (далее –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>,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п/пф</w:t>
      </w:r>
      <w:r w:rsidRPr="00922486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п/пп</w:t>
      </w:r>
      <w:r w:rsidRPr="00922486">
        <w:rPr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11. Степень реализации подпрограммы рассчитывается по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</w:t>
      </w: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</w:t>
      </w:r>
      <w:r w:rsidRPr="00922486">
        <w:rPr>
          <w:sz w:val="20"/>
          <w:szCs w:val="20"/>
          <w:lang w:val="en-US"/>
        </w:rPr>
        <w:t>N</w:t>
      </w:r>
    </w:p>
    <w:p w:rsidR="005C0218" w:rsidRPr="00922486" w:rsidRDefault="005C0218" w:rsidP="005C0218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= </w:t>
      </w:r>
      <w:r w:rsidRPr="00922486">
        <w:rPr>
          <w:sz w:val="32"/>
          <w:szCs w:val="32"/>
        </w:rPr>
        <w:t>∑</w:t>
      </w: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>/</w:t>
      </w:r>
      <w:r w:rsidRPr="00922486">
        <w:rPr>
          <w:sz w:val="28"/>
          <w:szCs w:val="28"/>
          <w:lang w:val="en-US"/>
        </w:rPr>
        <w:t>N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                                            1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степень реализации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п/ппз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N</w:t>
      </w:r>
      <w:r w:rsidRPr="00922486">
        <w:rPr>
          <w:sz w:val="28"/>
          <w:szCs w:val="28"/>
        </w:rPr>
        <w:t xml:space="preserve"> – число показателей (индикаторов), характеризующих цели и задачи подпрограммы.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использовании данной формулы в случаях, если СД</w:t>
      </w:r>
      <w:r w:rsidRPr="00922486">
        <w:rPr>
          <w:sz w:val="28"/>
          <w:szCs w:val="28"/>
          <w:vertAlign w:val="subscript"/>
        </w:rPr>
        <w:t xml:space="preserve">п/ппз </w:t>
      </w:r>
      <w:r w:rsidRPr="00922486">
        <w:rPr>
          <w:sz w:val="28"/>
          <w:szCs w:val="28"/>
        </w:rPr>
        <w:t>&gt; 1, значение СД</w:t>
      </w:r>
      <w:r w:rsidRPr="00922486">
        <w:rPr>
          <w:sz w:val="28"/>
          <w:szCs w:val="28"/>
          <w:vertAlign w:val="subscript"/>
        </w:rPr>
        <w:t xml:space="preserve">п/ппз </w:t>
      </w:r>
      <w:r w:rsidRPr="00922486">
        <w:rPr>
          <w:sz w:val="28"/>
          <w:szCs w:val="28"/>
        </w:rPr>
        <w:t>принимается равным 1.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</w:t>
      </w:r>
      <w:r w:rsidRPr="00922486">
        <w:rPr>
          <w:sz w:val="28"/>
          <w:szCs w:val="28"/>
        </w:rPr>
        <w:t>. Оценка эффективности реализации подпрограммы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</w:t>
      </w:r>
      <w:r w:rsidR="00106C1D">
        <w:rPr>
          <w:sz w:val="28"/>
          <w:szCs w:val="28"/>
        </w:rPr>
        <w:t>МО Спасский сельсовет</w:t>
      </w:r>
      <w:r w:rsidRPr="00922486">
        <w:rPr>
          <w:sz w:val="28"/>
          <w:szCs w:val="28"/>
        </w:rPr>
        <w:t xml:space="preserve"> по следующей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= 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>*Э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>, где: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эффективность реализации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степень реализации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</w:t>
      </w:r>
      <w:r w:rsidRPr="00922486">
        <w:rPr>
          <w:sz w:val="28"/>
          <w:szCs w:val="28"/>
          <w:vertAlign w:val="subscript"/>
        </w:rPr>
        <w:t>ис</w:t>
      </w:r>
      <w:r w:rsidRPr="00922486">
        <w:rPr>
          <w:sz w:val="28"/>
          <w:szCs w:val="28"/>
        </w:rPr>
        <w:t xml:space="preserve"> – эффективность использования средств бюджета </w:t>
      </w:r>
      <w:r w:rsidR="00106C1D">
        <w:rPr>
          <w:sz w:val="28"/>
          <w:szCs w:val="28"/>
        </w:rPr>
        <w:t>МО Спасский</w:t>
      </w:r>
      <w:r w:rsidRPr="00922486">
        <w:rPr>
          <w:sz w:val="28"/>
          <w:szCs w:val="28"/>
        </w:rPr>
        <w:t xml:space="preserve"> сельсове</w:t>
      </w:r>
      <w:r w:rsidR="00106C1D">
        <w:rPr>
          <w:sz w:val="28"/>
          <w:szCs w:val="28"/>
        </w:rPr>
        <w:t>т</w:t>
      </w:r>
      <w:r w:rsidRPr="00922486">
        <w:rPr>
          <w:sz w:val="28"/>
          <w:szCs w:val="28"/>
        </w:rPr>
        <w:t>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13. Эффективность реализации подпрограммы признается высокой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0,9.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подпрограммы признается средней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0,8.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подпрограммы признается удовлетворительной в случае, если значение 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составляет не менее 0,7.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В остальных случаях эффективность реализации подпрограммы признается неудовлетворительной.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VII</w:t>
      </w:r>
      <w:r w:rsidRPr="00922486">
        <w:rPr>
          <w:sz w:val="28"/>
          <w:szCs w:val="28"/>
        </w:rPr>
        <w:t>. Оценка степени достижения целей и решения задач муниципальной программы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14. Для оценки степени достижения цели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15. Степень достижения планового значения показателя (индикатора) рассчитывается по следующим формулам: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>,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= 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>/ЗП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 xml:space="preserve">, где: 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мпф</w:t>
      </w:r>
      <w:r w:rsidRPr="00922486">
        <w:rPr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ЗП</w:t>
      </w:r>
      <w:r w:rsidRPr="00922486">
        <w:rPr>
          <w:sz w:val="28"/>
          <w:szCs w:val="28"/>
          <w:vertAlign w:val="subscript"/>
        </w:rPr>
        <w:t>мпп</w:t>
      </w:r>
      <w:r w:rsidRPr="00922486">
        <w:rPr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16. Степень реализации программы рассчитывается по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</w:t>
      </w:r>
      <w:r w:rsidRPr="00922486">
        <w:rPr>
          <w:sz w:val="20"/>
          <w:szCs w:val="20"/>
          <w:lang w:val="en-US"/>
        </w:rPr>
        <w:t>N</w:t>
      </w:r>
    </w:p>
    <w:p w:rsidR="005C0218" w:rsidRPr="00922486" w:rsidRDefault="005C0218" w:rsidP="005C0218">
      <w:pPr>
        <w:ind w:firstLine="709"/>
        <w:contextualSpacing/>
        <w:jc w:val="center"/>
        <w:rPr>
          <w:sz w:val="20"/>
          <w:szCs w:val="20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= </w:t>
      </w:r>
      <w:r w:rsidRPr="00922486">
        <w:rPr>
          <w:sz w:val="32"/>
          <w:szCs w:val="32"/>
        </w:rPr>
        <w:t>∑</w:t>
      </w: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>/М, где: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1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степень реализации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М – число показателей (индикаторов), характеризующих цели и задачи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При использовании данной формулы в случаях, если 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&gt; 1, значение СД</w:t>
      </w:r>
      <w:r w:rsidRPr="00922486">
        <w:rPr>
          <w:sz w:val="28"/>
          <w:szCs w:val="28"/>
          <w:vertAlign w:val="subscript"/>
        </w:rPr>
        <w:t>мппз</w:t>
      </w:r>
      <w:r w:rsidRPr="00922486">
        <w:rPr>
          <w:sz w:val="28"/>
          <w:szCs w:val="28"/>
        </w:rPr>
        <w:t xml:space="preserve"> принимается равным 1.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VIII</w:t>
      </w:r>
      <w:r w:rsidRPr="00922486">
        <w:rPr>
          <w:sz w:val="28"/>
          <w:szCs w:val="28"/>
        </w:rPr>
        <w:t>. Оценка эффективности реализации муниципальной программы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lastRenderedPageBreak/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            </w:t>
      </w:r>
      <w:r w:rsidRPr="00922486">
        <w:rPr>
          <w:sz w:val="20"/>
          <w:szCs w:val="20"/>
          <w:lang w:val="en-US"/>
        </w:rPr>
        <w:t>j</w:t>
      </w:r>
    </w:p>
    <w:p w:rsidR="005C0218" w:rsidRPr="00922486" w:rsidRDefault="005C0218" w:rsidP="005C0218">
      <w:pPr>
        <w:ind w:firstLine="709"/>
        <w:contextualSpacing/>
        <w:jc w:val="center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= 0,5*СР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+ 0,5*∑(ЭР</w:t>
      </w:r>
      <w:r w:rsidRPr="00922486">
        <w:rPr>
          <w:sz w:val="28"/>
          <w:szCs w:val="28"/>
          <w:vertAlign w:val="subscript"/>
        </w:rPr>
        <w:t>п/</w:t>
      </w:r>
      <w:r w:rsidRPr="00922486">
        <w:rPr>
          <w:sz w:val="28"/>
          <w:szCs w:val="28"/>
        </w:rPr>
        <w:t>п</w:t>
      </w:r>
      <w:r w:rsidRPr="00922486">
        <w:rPr>
          <w:sz w:val="28"/>
          <w:szCs w:val="28"/>
          <w:vertAlign w:val="subscript"/>
          <w:lang w:val="en-US"/>
        </w:rPr>
        <w:t>j</w:t>
      </w:r>
      <w:r w:rsidRPr="00922486">
        <w:rPr>
          <w:sz w:val="28"/>
          <w:szCs w:val="28"/>
        </w:rPr>
        <w:t>/</w:t>
      </w:r>
      <w:r w:rsidRPr="00922486">
        <w:rPr>
          <w:sz w:val="28"/>
          <w:szCs w:val="28"/>
          <w:lang w:val="en-US"/>
        </w:rPr>
        <w:t>L</w:t>
      </w:r>
      <w:r w:rsidRPr="00922486">
        <w:rPr>
          <w:sz w:val="28"/>
          <w:szCs w:val="28"/>
        </w:rPr>
        <w:t>), где:</w:t>
      </w:r>
    </w:p>
    <w:p w:rsidR="005C0218" w:rsidRPr="00922486" w:rsidRDefault="005C0218" w:rsidP="005C0218">
      <w:pPr>
        <w:ind w:firstLine="709"/>
        <w:contextualSpacing/>
        <w:jc w:val="both"/>
        <w:rPr>
          <w:sz w:val="20"/>
          <w:szCs w:val="20"/>
        </w:rPr>
      </w:pPr>
      <w:r w:rsidRPr="00922486">
        <w:rPr>
          <w:sz w:val="20"/>
          <w:szCs w:val="20"/>
        </w:rPr>
        <w:t xml:space="preserve">                                                                                               1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СР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– степень реализации муниципальной 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ЭР</w:t>
      </w:r>
      <w:r w:rsidRPr="00922486">
        <w:rPr>
          <w:sz w:val="28"/>
          <w:szCs w:val="28"/>
          <w:vertAlign w:val="subscript"/>
        </w:rPr>
        <w:t>п/п</w:t>
      </w:r>
      <w:r w:rsidRPr="00922486">
        <w:rPr>
          <w:sz w:val="28"/>
          <w:szCs w:val="28"/>
        </w:rPr>
        <w:t xml:space="preserve"> – эффективность реализации подпрограммы;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  <w:lang w:val="en-US"/>
        </w:rPr>
        <w:t>L</w:t>
      </w:r>
      <w:r w:rsidRPr="00922486">
        <w:rPr>
          <w:sz w:val="28"/>
          <w:szCs w:val="28"/>
        </w:rPr>
        <w:t xml:space="preserve"> –количество подпрограмм муниципальной программы.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18. Эффективность реализации муниципальной программы признается высокой,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0,90.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муниципальной программы признается средней,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0,80.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Эффективность реализации муниципальной программы признается удовлетворительной, если значение ЭР</w:t>
      </w:r>
      <w:r w:rsidRPr="00922486">
        <w:rPr>
          <w:sz w:val="28"/>
          <w:szCs w:val="28"/>
          <w:vertAlign w:val="subscript"/>
        </w:rPr>
        <w:t>мп</w:t>
      </w:r>
      <w:r w:rsidRPr="00922486">
        <w:rPr>
          <w:sz w:val="28"/>
          <w:szCs w:val="28"/>
        </w:rPr>
        <w:t xml:space="preserve"> составляет не менее 0,70.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  <w:r w:rsidRPr="00922486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  <w:sectPr w:rsidR="005C0218" w:rsidRPr="00922486" w:rsidSect="00761B93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ind w:firstLine="709"/>
        <w:contextualSpacing/>
        <w:jc w:val="both"/>
        <w:rPr>
          <w:sz w:val="28"/>
          <w:szCs w:val="28"/>
        </w:rPr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Pr="00922486" w:rsidRDefault="005C0218" w:rsidP="005C0218">
      <w:pPr>
        <w:widowControl w:val="0"/>
        <w:autoSpaceDE w:val="0"/>
        <w:autoSpaceDN w:val="0"/>
        <w:adjustRightInd w:val="0"/>
        <w:ind w:left="5670"/>
        <w:contextualSpacing/>
      </w:pPr>
    </w:p>
    <w:p w:rsidR="005C0218" w:rsidRDefault="005C0218" w:rsidP="00762391">
      <w:pPr>
        <w:jc w:val="both"/>
        <w:rPr>
          <w:sz w:val="28"/>
          <w:szCs w:val="28"/>
        </w:rPr>
      </w:pPr>
    </w:p>
    <w:p w:rsidR="0060549E" w:rsidRPr="00404CBF" w:rsidRDefault="0060549E" w:rsidP="003D16C1">
      <w:pPr>
        <w:jc w:val="both"/>
        <w:rPr>
          <w:sz w:val="28"/>
          <w:szCs w:val="28"/>
        </w:rPr>
      </w:pPr>
    </w:p>
    <w:sectPr w:rsidR="0060549E" w:rsidRPr="00404CBF" w:rsidSect="00FA198C">
      <w:headerReference w:type="even" r:id="rId14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0B" w:rsidRDefault="00EC530B">
      <w:r>
        <w:separator/>
      </w:r>
    </w:p>
  </w:endnote>
  <w:endnote w:type="continuationSeparator" w:id="0">
    <w:p w:rsidR="00EC530B" w:rsidRDefault="00EC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0B" w:rsidRDefault="00EC530B">
      <w:r>
        <w:separator/>
      </w:r>
    </w:p>
  </w:footnote>
  <w:footnote w:type="continuationSeparator" w:id="0">
    <w:p w:rsidR="00EC530B" w:rsidRDefault="00EC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6544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654412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654412" w:rsidP="00761B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BF4">
      <w:rPr>
        <w:rStyle w:val="a6"/>
        <w:noProof/>
      </w:rPr>
      <w:t>33</w:t>
    </w:r>
    <w:r>
      <w:rPr>
        <w:rStyle w:val="a6"/>
      </w:rPr>
      <w:fldChar w:fldCharType="end"/>
    </w:r>
  </w:p>
  <w:p w:rsidR="00654412" w:rsidRDefault="00654412" w:rsidP="00761B93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12" w:rsidRDefault="00654412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412" w:rsidRDefault="00654412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AF9"/>
    <w:rsid w:val="00052FCC"/>
    <w:rsid w:val="00056CFB"/>
    <w:rsid w:val="0007259D"/>
    <w:rsid w:val="00075892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03D10"/>
    <w:rsid w:val="00106C1D"/>
    <w:rsid w:val="0011700E"/>
    <w:rsid w:val="001311B1"/>
    <w:rsid w:val="00131C5B"/>
    <w:rsid w:val="0013697D"/>
    <w:rsid w:val="00150A04"/>
    <w:rsid w:val="0016155F"/>
    <w:rsid w:val="00185000"/>
    <w:rsid w:val="0018679F"/>
    <w:rsid w:val="001A6F39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35BB0"/>
    <w:rsid w:val="003369DE"/>
    <w:rsid w:val="00345E51"/>
    <w:rsid w:val="00352870"/>
    <w:rsid w:val="00353831"/>
    <w:rsid w:val="00365C10"/>
    <w:rsid w:val="00372965"/>
    <w:rsid w:val="003744D9"/>
    <w:rsid w:val="0038258F"/>
    <w:rsid w:val="003863B2"/>
    <w:rsid w:val="00391BF4"/>
    <w:rsid w:val="00396997"/>
    <w:rsid w:val="003A65D2"/>
    <w:rsid w:val="003B2952"/>
    <w:rsid w:val="003B623D"/>
    <w:rsid w:val="003B683A"/>
    <w:rsid w:val="003C164F"/>
    <w:rsid w:val="003D16C1"/>
    <w:rsid w:val="003D27C1"/>
    <w:rsid w:val="003D6541"/>
    <w:rsid w:val="003E4530"/>
    <w:rsid w:val="003E749C"/>
    <w:rsid w:val="003F6CBF"/>
    <w:rsid w:val="004024A2"/>
    <w:rsid w:val="00404CBF"/>
    <w:rsid w:val="00420EEE"/>
    <w:rsid w:val="00441EEA"/>
    <w:rsid w:val="004463C1"/>
    <w:rsid w:val="00460EF9"/>
    <w:rsid w:val="004710DF"/>
    <w:rsid w:val="004852F8"/>
    <w:rsid w:val="004A1481"/>
    <w:rsid w:val="004A21D5"/>
    <w:rsid w:val="004A54FA"/>
    <w:rsid w:val="004B5F64"/>
    <w:rsid w:val="004D6D5F"/>
    <w:rsid w:val="004E77F1"/>
    <w:rsid w:val="004F23C7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0218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2247"/>
    <w:rsid w:val="00643764"/>
    <w:rsid w:val="00654412"/>
    <w:rsid w:val="00655908"/>
    <w:rsid w:val="00664019"/>
    <w:rsid w:val="00666597"/>
    <w:rsid w:val="00677B2E"/>
    <w:rsid w:val="00690CCB"/>
    <w:rsid w:val="006A1414"/>
    <w:rsid w:val="006A14C4"/>
    <w:rsid w:val="006A7A0A"/>
    <w:rsid w:val="006B7990"/>
    <w:rsid w:val="006C00A6"/>
    <w:rsid w:val="006C107F"/>
    <w:rsid w:val="006C7724"/>
    <w:rsid w:val="006E524C"/>
    <w:rsid w:val="006F55BF"/>
    <w:rsid w:val="007042FE"/>
    <w:rsid w:val="0072682A"/>
    <w:rsid w:val="00734ACE"/>
    <w:rsid w:val="00761B93"/>
    <w:rsid w:val="00762391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D79CE"/>
    <w:rsid w:val="007E26F9"/>
    <w:rsid w:val="008064B6"/>
    <w:rsid w:val="00832B80"/>
    <w:rsid w:val="00852E0B"/>
    <w:rsid w:val="00853182"/>
    <w:rsid w:val="00865231"/>
    <w:rsid w:val="00891815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22D8D"/>
    <w:rsid w:val="00922D9D"/>
    <w:rsid w:val="00934299"/>
    <w:rsid w:val="00940236"/>
    <w:rsid w:val="00957757"/>
    <w:rsid w:val="009660FE"/>
    <w:rsid w:val="00970132"/>
    <w:rsid w:val="00975F72"/>
    <w:rsid w:val="009868EA"/>
    <w:rsid w:val="00995C0E"/>
    <w:rsid w:val="009A507A"/>
    <w:rsid w:val="009B5CAB"/>
    <w:rsid w:val="009C05B2"/>
    <w:rsid w:val="009F0AA0"/>
    <w:rsid w:val="009F4DCD"/>
    <w:rsid w:val="00A027AF"/>
    <w:rsid w:val="00A027C5"/>
    <w:rsid w:val="00A05C45"/>
    <w:rsid w:val="00A11394"/>
    <w:rsid w:val="00A11ADB"/>
    <w:rsid w:val="00A12735"/>
    <w:rsid w:val="00A12B63"/>
    <w:rsid w:val="00A23B48"/>
    <w:rsid w:val="00A3401A"/>
    <w:rsid w:val="00A4096A"/>
    <w:rsid w:val="00A47E44"/>
    <w:rsid w:val="00A51FAF"/>
    <w:rsid w:val="00A751F3"/>
    <w:rsid w:val="00A77437"/>
    <w:rsid w:val="00A7756E"/>
    <w:rsid w:val="00A91D14"/>
    <w:rsid w:val="00AA1B48"/>
    <w:rsid w:val="00AB7C2E"/>
    <w:rsid w:val="00AE3163"/>
    <w:rsid w:val="00AF7B03"/>
    <w:rsid w:val="00B04935"/>
    <w:rsid w:val="00B113A4"/>
    <w:rsid w:val="00B246B3"/>
    <w:rsid w:val="00B32F49"/>
    <w:rsid w:val="00B35A44"/>
    <w:rsid w:val="00B368A3"/>
    <w:rsid w:val="00B56707"/>
    <w:rsid w:val="00B61F3D"/>
    <w:rsid w:val="00B62D9F"/>
    <w:rsid w:val="00B748DA"/>
    <w:rsid w:val="00B806FE"/>
    <w:rsid w:val="00B8607B"/>
    <w:rsid w:val="00B87901"/>
    <w:rsid w:val="00BA0024"/>
    <w:rsid w:val="00BA0B94"/>
    <w:rsid w:val="00BA3F04"/>
    <w:rsid w:val="00BA6440"/>
    <w:rsid w:val="00BB0235"/>
    <w:rsid w:val="00BB54B1"/>
    <w:rsid w:val="00BB696C"/>
    <w:rsid w:val="00BC1652"/>
    <w:rsid w:val="00BC2CE6"/>
    <w:rsid w:val="00BD648F"/>
    <w:rsid w:val="00BD69EA"/>
    <w:rsid w:val="00BE1A4D"/>
    <w:rsid w:val="00BE43AC"/>
    <w:rsid w:val="00BF26BA"/>
    <w:rsid w:val="00BF2A8E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15899"/>
    <w:rsid w:val="00D27F16"/>
    <w:rsid w:val="00D37D1B"/>
    <w:rsid w:val="00D574B6"/>
    <w:rsid w:val="00D618BC"/>
    <w:rsid w:val="00D64A0B"/>
    <w:rsid w:val="00D75F4A"/>
    <w:rsid w:val="00D8227D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C530B"/>
    <w:rsid w:val="00ED41BF"/>
    <w:rsid w:val="00EE1C87"/>
    <w:rsid w:val="00EE7364"/>
    <w:rsid w:val="00EE7968"/>
    <w:rsid w:val="00EF4A36"/>
    <w:rsid w:val="00F0584B"/>
    <w:rsid w:val="00F200E6"/>
    <w:rsid w:val="00F2289A"/>
    <w:rsid w:val="00F24592"/>
    <w:rsid w:val="00F26044"/>
    <w:rsid w:val="00F323D0"/>
    <w:rsid w:val="00F378CD"/>
    <w:rsid w:val="00F436A6"/>
    <w:rsid w:val="00F502EB"/>
    <w:rsid w:val="00F54AD8"/>
    <w:rsid w:val="00F57871"/>
    <w:rsid w:val="00F62932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CD7C4-45DB-4871-82F2-4E5C24C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27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rsid w:val="00BC2CE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paragraph" w:styleId="ab">
    <w:name w:val="No Spacing"/>
    <w:uiPriority w:val="1"/>
    <w:qFormat/>
    <w:rsid w:val="00A027C5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A02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"/>
    <w:unhideWhenUsed/>
    <w:rsid w:val="00404CBF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404CBF"/>
  </w:style>
  <w:style w:type="character" w:styleId="ad">
    <w:name w:val="Strong"/>
    <w:basedOn w:val="a0"/>
    <w:qFormat/>
    <w:rsid w:val="00404CBF"/>
    <w:rPr>
      <w:b/>
      <w:bCs/>
    </w:rPr>
  </w:style>
  <w:style w:type="character" w:styleId="ae">
    <w:name w:val="Hyperlink"/>
    <w:basedOn w:val="a0"/>
    <w:uiPriority w:val="99"/>
    <w:unhideWhenUsed/>
    <w:rsid w:val="007042FE"/>
    <w:rPr>
      <w:color w:val="0000FF"/>
      <w:u w:val="single"/>
    </w:rPr>
  </w:style>
  <w:style w:type="paragraph" w:styleId="af">
    <w:name w:val="Body Text"/>
    <w:basedOn w:val="a"/>
    <w:link w:val="af0"/>
    <w:rsid w:val="005C0218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5C0218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5C021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C0218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5C0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Текст выноски Знак"/>
    <w:link w:val="a7"/>
    <w:rsid w:val="005C021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C0218"/>
    <w:rPr>
      <w:sz w:val="24"/>
      <w:szCs w:val="24"/>
    </w:rPr>
  </w:style>
  <w:style w:type="paragraph" w:customStyle="1" w:styleId="BlockQuotation">
    <w:name w:val="Block Quotation"/>
    <w:basedOn w:val="a"/>
    <w:rsid w:val="005C0218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5C02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02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ublic\Desktop\&#1056;&#1072;&#1073;&#1086;&#1095;&#1080;&#1081;%20&#1089;&#1090;&#1086;&#1083;\&#1055;&#1086;&#1088;&#1103;&#1076;&#1086;&#1082;%20&#1088;&#1072;&#1079;&#1088;&#1072;&#1073;&#1086;&#1090;&#1082;&#1080;%20&#1084;&#1091;&#1085;&#1080;&#1094;.%20&#1087;&#1088;&#1086;&#1075;&#1088;&#1072;&#1084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ublic\Desktop\&#1056;&#1072;&#1073;&#1086;&#1095;&#1080;&#1081;%20&#1089;&#1090;&#1086;&#1083;\&#1055;&#1086;&#1088;&#1103;&#1076;&#1086;&#1082;%20&#1088;&#1072;&#1079;&#1088;&#1072;&#1073;&#1086;&#1090;&#1082;&#1080;%20&#1084;&#1091;&#1085;&#1080;&#1094;.%20&#1087;&#1088;&#1086;&#1075;&#1088;&#1072;&#1084;&#1084;.doc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DE39-BB19-4A98-B320-817F459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8195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54798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2019-10-21T10:13:00Z</cp:lastPrinted>
  <dcterms:created xsi:type="dcterms:W3CDTF">2019-11-28T05:39:00Z</dcterms:created>
  <dcterms:modified xsi:type="dcterms:W3CDTF">2019-11-28T05:39:00Z</dcterms:modified>
</cp:coreProperties>
</file>