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777822" w:rsidRPr="00D973CC" w:rsidTr="00DF70A1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777822" w:rsidRPr="0047337C" w:rsidRDefault="00D74B2A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7822" w:rsidRPr="0047337C" w:rsidRDefault="00D74B2A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7822" w:rsidRPr="0047337C" w:rsidRDefault="00D74B2A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</w:tr>
    </w:tbl>
    <w:p w:rsidR="00777822" w:rsidRPr="00D50266" w:rsidRDefault="00777822" w:rsidP="00777822">
      <w:pPr>
        <w:rPr>
          <w:sz w:val="28"/>
          <w:szCs w:val="28"/>
        </w:rPr>
      </w:pPr>
    </w:p>
    <w:p w:rsidR="00777822" w:rsidRPr="00D50266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777822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777822" w:rsidRPr="001D19DB" w:rsidRDefault="00777822" w:rsidP="00777822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второго заседания Совета депутатов</w:t>
      </w:r>
      <w:r w:rsidRPr="00D5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</w:t>
      </w:r>
      <w:r w:rsidRPr="00D50266">
        <w:rPr>
          <w:sz w:val="28"/>
          <w:szCs w:val="28"/>
        </w:rPr>
        <w:t>образования Спасский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D50266">
        <w:rPr>
          <w:sz w:val="28"/>
          <w:szCs w:val="28"/>
        </w:rPr>
        <w:t xml:space="preserve"> первого созыва</w:t>
      </w:r>
    </w:p>
    <w:p w:rsidR="00777822" w:rsidRPr="00D50266" w:rsidRDefault="00777822" w:rsidP="00777822">
      <w:pPr>
        <w:jc w:val="center"/>
        <w:rPr>
          <w:sz w:val="28"/>
          <w:szCs w:val="28"/>
        </w:rPr>
      </w:pPr>
    </w:p>
    <w:p w:rsidR="00777822" w:rsidRDefault="00777822" w:rsidP="00777822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>
        <w:rPr>
          <w:sz w:val="28"/>
          <w:szCs w:val="28"/>
        </w:rPr>
        <w:t>31янва</w:t>
      </w:r>
      <w:r w:rsidRPr="00D50266"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101</w:t>
      </w:r>
    </w:p>
    <w:p w:rsidR="00777822" w:rsidRDefault="00777822" w:rsidP="00777822">
      <w:pPr>
        <w:rPr>
          <w:sz w:val="28"/>
          <w:szCs w:val="28"/>
        </w:rPr>
      </w:pPr>
    </w:p>
    <w:p w:rsidR="00777822" w:rsidRDefault="00777822" w:rsidP="00777822">
      <w:pPr>
        <w:jc w:val="center"/>
        <w:rPr>
          <w:sz w:val="28"/>
          <w:szCs w:val="28"/>
        </w:rPr>
      </w:pPr>
    </w:p>
    <w:p w:rsidR="00777822" w:rsidRDefault="00777822" w:rsidP="0077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32E23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>части полномочий по осуществлению дорожной деятельности в отношении автомобильных дорог местного значения вне границ населенных пунктов в границах муниципального образования Спасский сельсовет Саракташского района Оренбургской области на 2018 год.</w:t>
      </w:r>
    </w:p>
    <w:p w:rsidR="00777822" w:rsidRDefault="00777822" w:rsidP="00777822">
      <w:pPr>
        <w:jc w:val="center"/>
        <w:rPr>
          <w:sz w:val="28"/>
          <w:szCs w:val="28"/>
        </w:rPr>
      </w:pPr>
    </w:p>
    <w:p w:rsidR="00066883" w:rsidRDefault="00777822" w:rsidP="0006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2E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Заслушав и обсудив финансово-экономическое обоснование главы муниципального образования Спасский сельсовет Саракташского района Оренбургской области Спицина В.А. по вопросу </w:t>
      </w:r>
      <w:r w:rsidR="00B32E23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осуществления части полномочий</w:t>
      </w:r>
      <w:r w:rsidR="00B32E23" w:rsidRPr="00B32E23">
        <w:rPr>
          <w:sz w:val="28"/>
          <w:szCs w:val="28"/>
        </w:rPr>
        <w:t xml:space="preserve"> </w:t>
      </w:r>
      <w:r w:rsidR="00B32E23">
        <w:rPr>
          <w:sz w:val="28"/>
          <w:szCs w:val="28"/>
        </w:rPr>
        <w:t xml:space="preserve">администрацей муниципального образования Спасский сельсовет Саракташского района Оренбургской области от </w:t>
      </w:r>
      <w:r>
        <w:rPr>
          <w:sz w:val="28"/>
          <w:szCs w:val="28"/>
        </w:rPr>
        <w:t xml:space="preserve">администрации Саракташского района, руководствуясь пунктом 4 статьи 15 Федерального закона от 06.10.2003г. № 131-ФЗ «Об общих принципах организации местного самоуправления в Российской Федерации, Бюджетным кодексом РФ,  </w:t>
      </w:r>
      <w:r w:rsidR="00066883" w:rsidRPr="00BD664E">
        <w:rPr>
          <w:sz w:val="28"/>
          <w:szCs w:val="28"/>
        </w:rPr>
        <w:t xml:space="preserve">статьёй 22 Устава Спасского сельсовета Саракташского района, </w:t>
      </w:r>
      <w:r w:rsidR="00066883">
        <w:rPr>
          <w:sz w:val="28"/>
          <w:szCs w:val="28"/>
        </w:rPr>
        <w:t xml:space="preserve">Оренбургской области, </w:t>
      </w:r>
    </w:p>
    <w:p w:rsidR="00066883" w:rsidRDefault="00066883" w:rsidP="00066883">
      <w:pPr>
        <w:jc w:val="both"/>
        <w:rPr>
          <w:sz w:val="28"/>
          <w:szCs w:val="28"/>
        </w:rPr>
      </w:pPr>
    </w:p>
    <w:p w:rsidR="00066883" w:rsidRDefault="00066883" w:rsidP="0006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 </w:t>
      </w:r>
      <w:r w:rsidRPr="00D50266">
        <w:rPr>
          <w:sz w:val="28"/>
          <w:szCs w:val="28"/>
        </w:rPr>
        <w:t>образования Спасский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</w:p>
    <w:p w:rsidR="00066883" w:rsidRDefault="00066883" w:rsidP="000668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6883" w:rsidRDefault="00066883" w:rsidP="00066883">
      <w:pPr>
        <w:jc w:val="both"/>
        <w:rPr>
          <w:sz w:val="28"/>
          <w:szCs w:val="28"/>
        </w:rPr>
      </w:pPr>
    </w:p>
    <w:p w:rsidR="00777822" w:rsidRDefault="00066883" w:rsidP="000668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Спасский сельсовет Саракташского района Оренбургской области принять часть полномочий от администрации Саракташского района по решению вопросов местного значения на 2018 год с передачей межбюджетных трансфертов:</w:t>
      </w:r>
    </w:p>
    <w:p w:rsidR="00066883" w:rsidRDefault="00066883" w:rsidP="0006688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дорожной деятельности в отношении автомобильных    </w:t>
      </w:r>
    </w:p>
    <w:p w:rsidR="00066883" w:rsidRDefault="00066883" w:rsidP="0006688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дорог местного значения вне границ населённых пунктов в границах  </w:t>
      </w:r>
    </w:p>
    <w:p w:rsidR="00B32E23" w:rsidRDefault="00066883" w:rsidP="00B32E2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образования Спасский сельсовет, а именно: по </w:t>
      </w:r>
      <w:r w:rsidR="00B32E23">
        <w:rPr>
          <w:sz w:val="28"/>
          <w:szCs w:val="28"/>
        </w:rPr>
        <w:t xml:space="preserve">   </w:t>
      </w:r>
    </w:p>
    <w:p w:rsidR="00B32E23" w:rsidRDefault="00B32E23" w:rsidP="00B32E2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883">
        <w:rPr>
          <w:sz w:val="28"/>
          <w:szCs w:val="28"/>
        </w:rPr>
        <w:t>проектированию и строительству</w:t>
      </w:r>
      <w:r>
        <w:rPr>
          <w:sz w:val="28"/>
          <w:szCs w:val="28"/>
        </w:rPr>
        <w:t xml:space="preserve"> автомобильных дорог местного </w:t>
      </w:r>
    </w:p>
    <w:p w:rsidR="00B32E23" w:rsidRDefault="00B32E23" w:rsidP="00B32E2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значения </w:t>
      </w:r>
      <w:r w:rsidR="00066883">
        <w:rPr>
          <w:sz w:val="28"/>
          <w:szCs w:val="28"/>
        </w:rPr>
        <w:t xml:space="preserve"> </w:t>
      </w:r>
      <w:r>
        <w:rPr>
          <w:sz w:val="28"/>
          <w:szCs w:val="28"/>
        </w:rPr>
        <w:t>вне границ населённых пунктов</w:t>
      </w:r>
      <w:r w:rsidRPr="00B32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  муниципального </w:t>
      </w:r>
    </w:p>
    <w:p w:rsidR="00066883" w:rsidRDefault="00B32E23" w:rsidP="00B32E2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образования Спасский сельсовет.</w:t>
      </w:r>
    </w:p>
    <w:p w:rsidR="00B32E23" w:rsidRDefault="00B32E23" w:rsidP="00B32E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муниципального образования Спасский сельсовет заключить соглашение с администрацией Саракташского района о принятии  осуществления части полномочий согласно пункту 1 данного решения.</w:t>
      </w:r>
    </w:p>
    <w:p w:rsidR="00B32E23" w:rsidRPr="00674BE1" w:rsidRDefault="00B32E23" w:rsidP="00B32E23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674BE1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главу администрации Спасского сельсовета Спицина В.А.</w:t>
      </w:r>
    </w:p>
    <w:p w:rsidR="00DF70A1" w:rsidRPr="007E4B44" w:rsidRDefault="00DF70A1" w:rsidP="00DF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7E4B44">
        <w:rPr>
          <w:sz w:val="28"/>
          <w:szCs w:val="28"/>
        </w:rPr>
        <w:t xml:space="preserve">Настоящее решение вступает в силу после его подписания и подлежит официальному опубликованию путём размещения на официальном сайте администрации </w:t>
      </w:r>
      <w:r>
        <w:rPr>
          <w:sz w:val="28"/>
          <w:szCs w:val="28"/>
        </w:rPr>
        <w:t>Спасского сельсовета</w:t>
      </w:r>
      <w:r w:rsidRPr="007E4B44">
        <w:rPr>
          <w:sz w:val="28"/>
          <w:szCs w:val="28"/>
        </w:rPr>
        <w:t>.</w:t>
      </w:r>
    </w:p>
    <w:p w:rsidR="00DF70A1" w:rsidRPr="007C7721" w:rsidRDefault="00DF70A1" w:rsidP="00DF70A1">
      <w:pPr>
        <w:jc w:val="both"/>
        <w:rPr>
          <w:szCs w:val="28"/>
        </w:rPr>
      </w:pPr>
    </w:p>
    <w:p w:rsidR="00DF70A1" w:rsidRPr="00412CE3" w:rsidRDefault="00DF70A1" w:rsidP="00DF70A1">
      <w:pPr>
        <w:ind w:left="36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DF70A1" w:rsidTr="00DF70A1">
        <w:trPr>
          <w:trHeight w:val="80"/>
        </w:trPr>
        <w:tc>
          <w:tcPr>
            <w:tcW w:w="2220" w:type="pct"/>
          </w:tcPr>
          <w:p w:rsidR="00DF70A1" w:rsidRPr="00412CE3" w:rsidRDefault="00DF70A1" w:rsidP="00DF70A1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DF70A1" w:rsidRPr="00412CE3" w:rsidRDefault="00DF70A1" w:rsidP="00DF70A1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DF70A1" w:rsidRPr="00412CE3" w:rsidRDefault="00DF70A1" w:rsidP="00DF70A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DF70A1" w:rsidRPr="00412CE3" w:rsidRDefault="00DF70A1" w:rsidP="00DF7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DF70A1" w:rsidRPr="00412CE3" w:rsidRDefault="00DF70A1" w:rsidP="00DF70A1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DF70A1" w:rsidRDefault="00DF70A1" w:rsidP="00DF70A1">
      <w:pPr>
        <w:ind w:left="705"/>
        <w:rPr>
          <w:sz w:val="28"/>
          <w:szCs w:val="28"/>
        </w:rPr>
      </w:pPr>
    </w:p>
    <w:p w:rsidR="00DF70A1" w:rsidRDefault="00DF70A1" w:rsidP="00DF70A1">
      <w:pPr>
        <w:rPr>
          <w:sz w:val="28"/>
          <w:szCs w:val="28"/>
        </w:rPr>
      </w:pPr>
    </w:p>
    <w:p w:rsidR="00DF70A1" w:rsidRDefault="00DF70A1" w:rsidP="00DF70A1">
      <w:pPr>
        <w:rPr>
          <w:sz w:val="28"/>
          <w:szCs w:val="28"/>
        </w:rPr>
      </w:pPr>
    </w:p>
    <w:p w:rsidR="00DF70A1" w:rsidRDefault="00DF70A1" w:rsidP="00DF70A1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администрации района, прокуратуру района, в дело.</w:t>
      </w:r>
    </w:p>
    <w:p w:rsidR="00B32E23" w:rsidRPr="0036740B" w:rsidRDefault="00B32E23" w:rsidP="00DF70A1">
      <w:pPr>
        <w:jc w:val="both"/>
        <w:rPr>
          <w:sz w:val="28"/>
          <w:szCs w:val="28"/>
        </w:rPr>
      </w:pPr>
    </w:p>
    <w:p w:rsidR="00777822" w:rsidRDefault="00777822" w:rsidP="00777822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777822" w:rsidRDefault="00777822"/>
    <w:sectPr w:rsidR="00777822" w:rsidSect="005C740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D39D7"/>
    <w:multiLevelType w:val="hybridMultilevel"/>
    <w:tmpl w:val="6D50F65E"/>
    <w:lvl w:ilvl="0" w:tplc="82EE603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8E848C3"/>
    <w:multiLevelType w:val="multilevel"/>
    <w:tmpl w:val="EBB0739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2"/>
    <w:rsid w:val="00066883"/>
    <w:rsid w:val="005C7400"/>
    <w:rsid w:val="005D1047"/>
    <w:rsid w:val="00777822"/>
    <w:rsid w:val="00B32E23"/>
    <w:rsid w:val="00D74B2A"/>
    <w:rsid w:val="00D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280ED-B8D2-436C-AEB7-E9EDB0B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22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77782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Normal (Web)"/>
    <w:basedOn w:val="a"/>
    <w:rsid w:val="00DF70A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2018-02-06T07:12:00Z</dcterms:created>
  <dcterms:modified xsi:type="dcterms:W3CDTF">2018-02-06T07:12:00Z</dcterms:modified>
</cp:coreProperties>
</file>